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Calibri" w:hAnsi="Calibri" w:cs="Calibri"/>
          <w:color w:val="5B9BD5" w:themeColor="accent1"/>
          <w:sz w:val="24"/>
        </w:rPr>
        <w:id w:val="915681300"/>
        <w:docPartObj>
          <w:docPartGallery w:val="Cover Pages"/>
          <w:docPartUnique/>
        </w:docPartObj>
      </w:sdtPr>
      <w:sdtEndPr>
        <w:rPr>
          <w:color w:val="000000"/>
        </w:rPr>
      </w:sdtEndPr>
      <w:sdtContent>
        <w:p w14:paraId="07C15519" w14:textId="77777777" w:rsidR="00F93B66" w:rsidRDefault="00F93B66">
          <w:pPr>
            <w:pStyle w:val="NoSpacing"/>
            <w:spacing w:before="1540" w:after="240"/>
            <w:jc w:val="center"/>
            <w:rPr>
              <w:color w:val="5B9BD5" w:themeColor="accent1"/>
            </w:rPr>
          </w:pPr>
        </w:p>
        <w:sdt>
          <w:sdtPr>
            <w:rPr>
              <w:rFonts w:asciiTheme="majorHAnsi" w:eastAsiaTheme="majorEastAsia" w:hAnsiTheme="majorHAnsi" w:cstheme="majorBidi"/>
              <w:caps/>
              <w:color w:val="5B9BD5" w:themeColor="accent1"/>
              <w:sz w:val="72"/>
              <w:szCs w:val="72"/>
            </w:rPr>
            <w:alias w:val="Title"/>
            <w:tag w:val=""/>
            <w:id w:val="1735040861"/>
            <w:placeholder>
              <w:docPart w:val="89CBA8C0A1D540BDA470A1DFEB886A70"/>
            </w:placeholder>
            <w:dataBinding w:prefixMappings="xmlns:ns0='http://purl.org/dc/elements/1.1/' xmlns:ns1='http://schemas.openxmlformats.org/package/2006/metadata/core-properties' " w:xpath="/ns1:coreProperties[1]/ns0:title[1]" w:storeItemID="{6C3C8BC8-F283-45AE-878A-BAB7291924A1}"/>
            <w:text/>
          </w:sdtPr>
          <w:sdtEndPr/>
          <w:sdtContent>
            <w:p w14:paraId="5C972DED" w14:textId="210187F5" w:rsidR="00F27B64" w:rsidRPr="00851DA1" w:rsidRDefault="00F27B64" w:rsidP="00F27B6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RÉSUMÉ DES RAPPORTS DE SURVEILLANCE ANNUELS DE 2023</w:t>
              </w:r>
            </w:p>
          </w:sdtContent>
        </w:sdt>
        <w:sdt>
          <w:sdtPr>
            <w:rPr>
              <w:color w:val="5B9BD5" w:themeColor="accent1"/>
              <w:sz w:val="28"/>
              <w:szCs w:val="28"/>
            </w:rPr>
            <w:alias w:val="Sous-titre"/>
            <w:tag w:val=""/>
            <w:id w:val="328029620"/>
            <w:placeholder>
              <w:docPart w:val="29EC6533116E4C848F3836C5B2DBE872"/>
            </w:placeholder>
            <w:dataBinding w:prefixMappings="xmlns:ns0='http://purl.org/dc/elements/1.1/' xmlns:ns1='http://schemas.openxmlformats.org/package/2006/metadata/core-properties' " w:xpath="/ns1:coreProperties[1]/ns0:subject[1]" w:storeItemID="{6C3C8BC8-F283-45AE-878A-BAB7291924A1}"/>
            <w:text/>
          </w:sdtPr>
          <w:sdtEndPr/>
          <w:sdtContent>
            <w:p w14:paraId="1E32AB05" w14:textId="0A3CAB7C" w:rsidR="00F93B66" w:rsidRPr="006104DA" w:rsidRDefault="00F27B64">
              <w:pPr>
                <w:pStyle w:val="NoSpacing"/>
                <w:jc w:val="center"/>
                <w:rPr>
                  <w:color w:val="5B9BD5" w:themeColor="accent1"/>
                  <w:sz w:val="12"/>
                  <w:szCs w:val="28"/>
                </w:rPr>
              </w:pPr>
              <w:r>
                <w:rPr>
                  <w:color w:val="5B9BD5" w:themeColor="accent1"/>
                  <w:sz w:val="28"/>
                  <w:szCs w:val="28"/>
                </w:rPr>
                <w:t>Résumé des rapports de surveillance annuels des rivières du patrimoine canadien</w:t>
              </w:r>
            </w:p>
          </w:sdtContent>
        </w:sdt>
        <w:p w14:paraId="18D7AADF" w14:textId="77777777" w:rsidR="00F93B66" w:rsidRDefault="00F93B6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61312" behindDoc="0" locked="0" layoutInCell="1" allowOverlap="1" wp14:anchorId="72EA4223" wp14:editId="1FF83F4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47F92" w14:textId="33B03D90" w:rsidR="0040558F" w:rsidRDefault="00BD09FD">
                                <w:pPr>
                                  <w:pStyle w:val="NoSpacing"/>
                                  <w:jc w:val="center"/>
                                  <w:rPr>
                                    <w:color w:val="5B9BD5" w:themeColor="accent1"/>
                                  </w:rPr>
                                </w:pPr>
                                <w:sdt>
                                  <w:sdtPr>
                                    <w:rPr>
                                      <w:caps/>
                                      <w:color w:val="5B9BD5" w:themeColor="accent1"/>
                                    </w:rPr>
                                    <w:alias w:val="Organisme"/>
                                    <w:tag w:val=""/>
                                    <w:id w:val="1390145197"/>
                                    <w:dataBinding w:prefixMappings="xmlns:ns0='http://schemas.openxmlformats.org/officeDocument/2006/extended-properties' " w:xpath="/ns0:Properties[1]/ns0:Company[1]" w:storeItemID="{6668398D-A668-4E3E-A5EB-62B293D839F1}"/>
                                    <w:text/>
                                  </w:sdtPr>
                                  <w:sdtEndPr/>
                                  <w:sdtContent>
                                    <w:r w:rsidR="00DD231C">
                                      <w:rPr>
                                        <w:caps/>
                                        <w:color w:val="5B9BD5" w:themeColor="accent1"/>
                                      </w:rPr>
                                      <w:t>RÉSEAU DES RIVIÈRES DU PATRIMOINE CANADIEN</w:t>
                                    </w:r>
                                  </w:sdtContent>
                                </w:sdt>
                              </w:p>
                              <w:p w14:paraId="5B0ED004" w14:textId="6C875660" w:rsidR="0040558F" w:rsidRDefault="00BD09FD">
                                <w:pPr>
                                  <w:pStyle w:val="NoSpacing"/>
                                  <w:jc w:val="center"/>
                                  <w:rPr>
                                    <w:color w:val="5B9BD5" w:themeColor="accent1"/>
                                  </w:rPr>
                                </w:pPr>
                                <w:sdt>
                                  <w:sdtPr>
                                    <w:rPr>
                                      <w:color w:val="5B9BD5" w:themeColor="accent1"/>
                                    </w:rPr>
                                    <w:alias w:val="Adresse"/>
                                    <w:tag w:val=""/>
                                    <w:id w:val="-726379553"/>
                                    <w:dataBinding w:prefixMappings="xmlns:ns0='http://schemas.microsoft.com/office/2006/coverPageProps' " w:xpath="/ns0:CoverPageProperties[1]/ns0:CompanyAddress[1]" w:storeItemID="{55AF091B-3C7A-41E3-B477-F2FDAA23CFDA}"/>
                                    <w:text/>
                                  </w:sdtPr>
                                  <w:sdtEndPr/>
                                  <w:sdtContent>
                                    <w:r w:rsidR="00E46308">
                                      <w:rPr>
                                        <w:color w:val="5B9BD5" w:themeColor="accent1"/>
                                      </w:rPr>
                                      <w:t>2024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2EA4223"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A347F92" w14:textId="33B03D90" w:rsidR="0040558F" w:rsidRDefault="00000000">
                          <w:pPr>
                            <w:pStyle w:val="NoSpacing"/>
                            <w:jc w:val="center"/>
                            <w:rPr>
                              <w:color w:val="5B9BD5" w:themeColor="accent1"/>
                            </w:rPr>
                          </w:pPr>
                          <w:sdt>
                            <w:sdtPr>
                              <w:rPr>
                                <w:caps/>
                                <w:color w:val="5B9BD5" w:themeColor="accent1"/>
                              </w:rPr>
                              <w:alias w:val="Organisme"/>
                              <w:tag w:val=""/>
                              <w:id w:val="1390145197"/>
                              <w:dataBinding w:prefixMappings="xmlns:ns0='http://schemas.openxmlformats.org/officeDocument/2006/extended-properties' " w:xpath="/ns0:Properties[1]/ns0:Company[1]" w:storeItemID="{6668398D-A668-4E3E-A5EB-62B293D839F1}"/>
                              <w:text/>
                            </w:sdtPr>
                            <w:sdtContent>
                              <w:r w:rsidR="00DD231C">
                                <w:rPr>
                                  <w:caps/>
                                  <w:color w:val="5B9BD5" w:themeColor="accent1"/>
                                </w:rPr>
                                <w:t>RÉSEAU DES RIVIÈRES DU PATRIMOINE CANADIEN</w:t>
                              </w:r>
                            </w:sdtContent>
                          </w:sdt>
                        </w:p>
                        <w:p w14:paraId="5B0ED004" w14:textId="6C875660" w:rsidR="0040558F" w:rsidRDefault="00000000">
                          <w:pPr>
                            <w:pStyle w:val="NoSpacing"/>
                            <w:jc w:val="center"/>
                            <w:rPr>
                              <w:color w:val="5B9BD5" w:themeColor="accent1"/>
                            </w:rPr>
                          </w:pPr>
                          <w:sdt>
                            <w:sdtPr>
                              <w:rPr>
                                <w:color w:val="5B9BD5" w:themeColor="accent1"/>
                              </w:rPr>
                              <w:alias w:val="Adresse"/>
                              <w:tag w:val=""/>
                              <w:id w:val="-726379553"/>
                              <w:dataBinding w:prefixMappings="xmlns:ns0='http://schemas.microsoft.com/office/2006/coverPageProps' " w:xpath="/ns0:CoverPageProperties[1]/ns0:CompanyAddress[1]" w:storeItemID="{55AF091B-3C7A-41E3-B477-F2FDAA23CFDA}"/>
                              <w:text/>
                            </w:sdtPr>
                            <w:sdtContent>
                              <w:r w:rsidR="00E46308">
                                <w:rPr>
                                  <w:color w:val="5B9BD5" w:themeColor="accent1"/>
                                </w:rPr>
                                <w:t>2024</w:t>
                              </w:r>
                            </w:sdtContent>
                          </w:sdt>
                        </w:p>
                      </w:txbxContent>
                    </v:textbox>
                    <w10:wrap anchorx="margin" anchory="page"/>
                  </v:shape>
                </w:pict>
              </mc:Fallback>
            </mc:AlternateContent>
          </w:r>
        </w:p>
        <w:p w14:paraId="24C2EE80" w14:textId="77777777" w:rsidR="00F93B66" w:rsidRPr="0040558F" w:rsidRDefault="00F93B66" w:rsidP="0040558F">
          <w:pPr>
            <w:spacing w:after="160" w:line="259" w:lineRule="auto"/>
            <w:ind w:left="0" w:firstLine="0"/>
          </w:pPr>
          <w:r>
            <w:br w:type="page"/>
          </w:r>
        </w:p>
      </w:sdtContent>
    </w:sdt>
    <w:sdt>
      <w:sdtPr>
        <w:rPr>
          <w:rFonts w:ascii="Calibri" w:eastAsia="Calibri" w:hAnsi="Calibri" w:cs="Calibri"/>
          <w:color w:val="000000"/>
          <w:sz w:val="24"/>
          <w:szCs w:val="22"/>
        </w:rPr>
        <w:id w:val="-1023943125"/>
        <w:docPartObj>
          <w:docPartGallery w:val="Table of Contents"/>
          <w:docPartUnique/>
        </w:docPartObj>
      </w:sdtPr>
      <w:sdtEndPr>
        <w:rPr>
          <w:b/>
          <w:bCs/>
          <w:noProof/>
        </w:rPr>
      </w:sdtEndPr>
      <w:sdtContent>
        <w:p w14:paraId="654474E5" w14:textId="77777777" w:rsidR="005F3731" w:rsidRPr="005F3731" w:rsidRDefault="005F3731" w:rsidP="005F3731">
          <w:pPr>
            <w:pStyle w:val="TOCHeading"/>
          </w:pPr>
          <w:r>
            <w:t>Table des matières</w:t>
          </w:r>
        </w:p>
        <w:p w14:paraId="0635EB5B" w14:textId="552CDBAA" w:rsidR="00F27B64" w:rsidRDefault="005F3731">
          <w:pPr>
            <w:pStyle w:val="TOC2"/>
            <w:rPr>
              <w:rFonts w:asciiTheme="minorHAnsi" w:eastAsiaTheme="minorEastAsia" w:hAnsiTheme="minorHAnsi" w:cstheme="minorBidi"/>
              <w:color w:val="auto"/>
              <w:kern w:val="2"/>
              <w:sz w:val="22"/>
              <w:lang w:val="en-CA" w:eastAsia="en-CA"/>
              <w14:ligatures w14:val="standardContextual"/>
            </w:rPr>
          </w:pPr>
          <w:r>
            <w:fldChar w:fldCharType="begin"/>
          </w:r>
          <w:r>
            <w:instrText xml:space="preserve"> TOC \o "1-3" \h \z \u </w:instrText>
          </w:r>
          <w:r>
            <w:fldChar w:fldCharType="separate"/>
          </w:r>
          <w:hyperlink w:anchor="_Toc184297688" w:history="1">
            <w:r w:rsidR="00F27B64" w:rsidRPr="00203C50">
              <w:rPr>
                <w:rStyle w:val="Hyperlink"/>
              </w:rPr>
              <w:t>SOMMAIRE</w:t>
            </w:r>
            <w:r w:rsidR="00F27B64">
              <w:rPr>
                <w:webHidden/>
              </w:rPr>
              <w:tab/>
            </w:r>
            <w:r w:rsidR="00F27B64">
              <w:rPr>
                <w:webHidden/>
              </w:rPr>
              <w:fldChar w:fldCharType="begin"/>
            </w:r>
            <w:r w:rsidR="00F27B64">
              <w:rPr>
                <w:webHidden/>
              </w:rPr>
              <w:instrText xml:space="preserve"> PAGEREF _Toc184297688 \h </w:instrText>
            </w:r>
            <w:r w:rsidR="00F27B64">
              <w:rPr>
                <w:webHidden/>
              </w:rPr>
            </w:r>
            <w:r w:rsidR="00F27B64">
              <w:rPr>
                <w:webHidden/>
              </w:rPr>
              <w:fldChar w:fldCharType="separate"/>
            </w:r>
            <w:r w:rsidR="00F27B64">
              <w:rPr>
                <w:webHidden/>
              </w:rPr>
              <w:t>4</w:t>
            </w:r>
            <w:r w:rsidR="00F27B64">
              <w:rPr>
                <w:webHidden/>
              </w:rPr>
              <w:fldChar w:fldCharType="end"/>
            </w:r>
          </w:hyperlink>
        </w:p>
        <w:p w14:paraId="5D92C352" w14:textId="76D79E05"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89" w:history="1">
            <w:r w:rsidR="00F27B64" w:rsidRPr="00203C50">
              <w:rPr>
                <w:rStyle w:val="Hyperlink"/>
              </w:rPr>
              <w:t>ALSEK</w:t>
            </w:r>
            <w:r w:rsidR="00F27B64">
              <w:rPr>
                <w:webHidden/>
              </w:rPr>
              <w:tab/>
            </w:r>
            <w:r w:rsidR="00F27B64">
              <w:rPr>
                <w:webHidden/>
              </w:rPr>
              <w:fldChar w:fldCharType="begin"/>
            </w:r>
            <w:r w:rsidR="00F27B64">
              <w:rPr>
                <w:webHidden/>
              </w:rPr>
              <w:instrText xml:space="preserve"> PAGEREF _Toc184297689 \h </w:instrText>
            </w:r>
            <w:r w:rsidR="00F27B64">
              <w:rPr>
                <w:webHidden/>
              </w:rPr>
            </w:r>
            <w:r w:rsidR="00F27B64">
              <w:rPr>
                <w:webHidden/>
              </w:rPr>
              <w:fldChar w:fldCharType="separate"/>
            </w:r>
            <w:r w:rsidR="00F27B64">
              <w:rPr>
                <w:webHidden/>
              </w:rPr>
              <w:t>5</w:t>
            </w:r>
            <w:r w:rsidR="00F27B64">
              <w:rPr>
                <w:webHidden/>
              </w:rPr>
              <w:fldChar w:fldCharType="end"/>
            </w:r>
          </w:hyperlink>
        </w:p>
        <w:p w14:paraId="625C02A5" w14:textId="7FB70CB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0" w:history="1">
            <w:r w:rsidR="00F27B64" w:rsidRPr="00203C50">
              <w:rPr>
                <w:rStyle w:val="Hyperlink"/>
              </w:rPr>
              <w:t>ATHABASCA</w:t>
            </w:r>
            <w:r w:rsidR="00F27B64">
              <w:rPr>
                <w:webHidden/>
              </w:rPr>
              <w:tab/>
            </w:r>
            <w:r w:rsidR="00F27B64">
              <w:rPr>
                <w:webHidden/>
              </w:rPr>
              <w:fldChar w:fldCharType="begin"/>
            </w:r>
            <w:r w:rsidR="00F27B64">
              <w:rPr>
                <w:webHidden/>
              </w:rPr>
              <w:instrText xml:space="preserve"> PAGEREF _Toc184297690 \h </w:instrText>
            </w:r>
            <w:r w:rsidR="00F27B64">
              <w:rPr>
                <w:webHidden/>
              </w:rPr>
            </w:r>
            <w:r w:rsidR="00F27B64">
              <w:rPr>
                <w:webHidden/>
              </w:rPr>
              <w:fldChar w:fldCharType="separate"/>
            </w:r>
            <w:r w:rsidR="00F27B64">
              <w:rPr>
                <w:webHidden/>
              </w:rPr>
              <w:t>5</w:t>
            </w:r>
            <w:r w:rsidR="00F27B64">
              <w:rPr>
                <w:webHidden/>
              </w:rPr>
              <w:fldChar w:fldCharType="end"/>
            </w:r>
          </w:hyperlink>
        </w:p>
        <w:p w14:paraId="7EDE5652" w14:textId="49EF9D21"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1" w:history="1">
            <w:r w:rsidR="00F27B64" w:rsidRPr="00203C50">
              <w:rPr>
                <w:rStyle w:val="Hyperlink"/>
              </w:rPr>
              <w:t>BAY DU NORD</w:t>
            </w:r>
            <w:r w:rsidR="00F27B64">
              <w:rPr>
                <w:webHidden/>
              </w:rPr>
              <w:tab/>
            </w:r>
            <w:r w:rsidR="00F27B64">
              <w:rPr>
                <w:webHidden/>
              </w:rPr>
              <w:fldChar w:fldCharType="begin"/>
            </w:r>
            <w:r w:rsidR="00F27B64">
              <w:rPr>
                <w:webHidden/>
              </w:rPr>
              <w:instrText xml:space="preserve"> PAGEREF _Toc184297691 \h </w:instrText>
            </w:r>
            <w:r w:rsidR="00F27B64">
              <w:rPr>
                <w:webHidden/>
              </w:rPr>
            </w:r>
            <w:r w:rsidR="00F27B64">
              <w:rPr>
                <w:webHidden/>
              </w:rPr>
              <w:fldChar w:fldCharType="separate"/>
            </w:r>
            <w:r w:rsidR="00F27B64">
              <w:rPr>
                <w:webHidden/>
              </w:rPr>
              <w:t>6</w:t>
            </w:r>
            <w:r w:rsidR="00F27B64">
              <w:rPr>
                <w:webHidden/>
              </w:rPr>
              <w:fldChar w:fldCharType="end"/>
            </w:r>
          </w:hyperlink>
        </w:p>
        <w:p w14:paraId="32A27496" w14:textId="53A352EA"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2" w:history="1">
            <w:r w:rsidR="00F27B64" w:rsidRPr="00203C50">
              <w:rPr>
                <w:rStyle w:val="Hyperlink"/>
              </w:rPr>
              <w:t>BLOODVEIN (ONTARIO)</w:t>
            </w:r>
            <w:r w:rsidR="00F27B64">
              <w:rPr>
                <w:webHidden/>
              </w:rPr>
              <w:tab/>
            </w:r>
            <w:r w:rsidR="00F27B64">
              <w:rPr>
                <w:webHidden/>
              </w:rPr>
              <w:fldChar w:fldCharType="begin"/>
            </w:r>
            <w:r w:rsidR="00F27B64">
              <w:rPr>
                <w:webHidden/>
              </w:rPr>
              <w:instrText xml:space="preserve"> PAGEREF _Toc184297692 \h </w:instrText>
            </w:r>
            <w:r w:rsidR="00F27B64">
              <w:rPr>
                <w:webHidden/>
              </w:rPr>
            </w:r>
            <w:r w:rsidR="00F27B64">
              <w:rPr>
                <w:webHidden/>
              </w:rPr>
              <w:fldChar w:fldCharType="separate"/>
            </w:r>
            <w:r w:rsidR="00F27B64">
              <w:rPr>
                <w:webHidden/>
              </w:rPr>
              <w:t>6</w:t>
            </w:r>
            <w:r w:rsidR="00F27B64">
              <w:rPr>
                <w:webHidden/>
              </w:rPr>
              <w:fldChar w:fldCharType="end"/>
            </w:r>
          </w:hyperlink>
        </w:p>
        <w:p w14:paraId="1D5F6E71" w14:textId="5B3BF93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3" w:history="1">
            <w:r w:rsidR="00F27B64" w:rsidRPr="00203C50">
              <w:rPr>
                <w:rStyle w:val="Hyperlink"/>
              </w:rPr>
              <w:t>ROUTE FRONTALIÈRE DES VOYAGEURS</w:t>
            </w:r>
            <w:r w:rsidR="00F27B64">
              <w:rPr>
                <w:webHidden/>
              </w:rPr>
              <w:tab/>
            </w:r>
            <w:r w:rsidR="00F27B64">
              <w:rPr>
                <w:webHidden/>
              </w:rPr>
              <w:fldChar w:fldCharType="begin"/>
            </w:r>
            <w:r w:rsidR="00F27B64">
              <w:rPr>
                <w:webHidden/>
              </w:rPr>
              <w:instrText xml:space="preserve"> PAGEREF _Toc184297693 \h </w:instrText>
            </w:r>
            <w:r w:rsidR="00F27B64">
              <w:rPr>
                <w:webHidden/>
              </w:rPr>
            </w:r>
            <w:r w:rsidR="00F27B64">
              <w:rPr>
                <w:webHidden/>
              </w:rPr>
              <w:fldChar w:fldCharType="separate"/>
            </w:r>
            <w:r w:rsidR="00F27B64">
              <w:rPr>
                <w:webHidden/>
              </w:rPr>
              <w:t>6</w:t>
            </w:r>
            <w:r w:rsidR="00F27B64">
              <w:rPr>
                <w:webHidden/>
              </w:rPr>
              <w:fldChar w:fldCharType="end"/>
            </w:r>
          </w:hyperlink>
        </w:p>
        <w:p w14:paraId="711CB79E" w14:textId="48AB572F"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4" w:history="1">
            <w:r w:rsidR="00F27B64" w:rsidRPr="00203C50">
              <w:rPr>
                <w:rStyle w:val="Hyperlink"/>
              </w:rPr>
              <w:t>CLEARWATER (ALBERTA)</w:t>
            </w:r>
            <w:r w:rsidR="00F27B64">
              <w:rPr>
                <w:webHidden/>
              </w:rPr>
              <w:tab/>
            </w:r>
            <w:r w:rsidR="00F27B64">
              <w:rPr>
                <w:webHidden/>
              </w:rPr>
              <w:fldChar w:fldCharType="begin"/>
            </w:r>
            <w:r w:rsidR="00F27B64">
              <w:rPr>
                <w:webHidden/>
              </w:rPr>
              <w:instrText xml:space="preserve"> PAGEREF _Toc184297694 \h </w:instrText>
            </w:r>
            <w:r w:rsidR="00F27B64">
              <w:rPr>
                <w:webHidden/>
              </w:rPr>
            </w:r>
            <w:r w:rsidR="00F27B64">
              <w:rPr>
                <w:webHidden/>
              </w:rPr>
              <w:fldChar w:fldCharType="separate"/>
            </w:r>
            <w:r w:rsidR="00F27B64">
              <w:rPr>
                <w:webHidden/>
              </w:rPr>
              <w:t>6</w:t>
            </w:r>
            <w:r w:rsidR="00F27B64">
              <w:rPr>
                <w:webHidden/>
              </w:rPr>
              <w:fldChar w:fldCharType="end"/>
            </w:r>
          </w:hyperlink>
        </w:p>
        <w:p w14:paraId="75BD2F0B" w14:textId="7A38E66F"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5" w:history="1">
            <w:r w:rsidR="00F27B64" w:rsidRPr="00203C50">
              <w:rPr>
                <w:rStyle w:val="Hyperlink"/>
              </w:rPr>
              <w:t>CLEARWATER (SASKATCHEWAN)</w:t>
            </w:r>
            <w:r w:rsidR="00F27B64">
              <w:rPr>
                <w:webHidden/>
              </w:rPr>
              <w:tab/>
            </w:r>
            <w:r w:rsidR="00F27B64">
              <w:rPr>
                <w:webHidden/>
              </w:rPr>
              <w:fldChar w:fldCharType="begin"/>
            </w:r>
            <w:r w:rsidR="00F27B64">
              <w:rPr>
                <w:webHidden/>
              </w:rPr>
              <w:instrText xml:space="preserve"> PAGEREF _Toc184297695 \h </w:instrText>
            </w:r>
            <w:r w:rsidR="00F27B64">
              <w:rPr>
                <w:webHidden/>
              </w:rPr>
            </w:r>
            <w:r w:rsidR="00F27B64">
              <w:rPr>
                <w:webHidden/>
              </w:rPr>
              <w:fldChar w:fldCharType="separate"/>
            </w:r>
            <w:r w:rsidR="00F27B64">
              <w:rPr>
                <w:webHidden/>
              </w:rPr>
              <w:t>7</w:t>
            </w:r>
            <w:r w:rsidR="00F27B64">
              <w:rPr>
                <w:webHidden/>
              </w:rPr>
              <w:fldChar w:fldCharType="end"/>
            </w:r>
          </w:hyperlink>
        </w:p>
        <w:p w14:paraId="75C2A291" w14:textId="63BF0049"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6" w:history="1">
            <w:r w:rsidR="00F27B64" w:rsidRPr="00203C50">
              <w:rPr>
                <w:rStyle w:val="Hyperlink"/>
              </w:rPr>
              <w:t>DES NEDHÈ | SEAL</w:t>
            </w:r>
            <w:r w:rsidR="00F27B64">
              <w:rPr>
                <w:webHidden/>
              </w:rPr>
              <w:tab/>
            </w:r>
            <w:r w:rsidR="00F27B64">
              <w:rPr>
                <w:webHidden/>
              </w:rPr>
              <w:fldChar w:fldCharType="begin"/>
            </w:r>
            <w:r w:rsidR="00F27B64">
              <w:rPr>
                <w:webHidden/>
              </w:rPr>
              <w:instrText xml:space="preserve"> PAGEREF _Toc184297696 \h </w:instrText>
            </w:r>
            <w:r w:rsidR="00F27B64">
              <w:rPr>
                <w:webHidden/>
              </w:rPr>
            </w:r>
            <w:r w:rsidR="00F27B64">
              <w:rPr>
                <w:webHidden/>
              </w:rPr>
              <w:fldChar w:fldCharType="separate"/>
            </w:r>
            <w:r w:rsidR="00F27B64">
              <w:rPr>
                <w:webHidden/>
              </w:rPr>
              <w:t>7</w:t>
            </w:r>
            <w:r w:rsidR="00F27B64">
              <w:rPr>
                <w:webHidden/>
              </w:rPr>
              <w:fldChar w:fldCharType="end"/>
            </w:r>
          </w:hyperlink>
        </w:p>
        <w:p w14:paraId="46E39255" w14:textId="7F4AA0DD"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7" w:history="1">
            <w:r w:rsidR="00F27B64" w:rsidRPr="00203C50">
              <w:rPr>
                <w:rStyle w:val="Hyperlink"/>
              </w:rPr>
              <w:t>DÉTROIT</w:t>
            </w:r>
            <w:r w:rsidR="00F27B64">
              <w:rPr>
                <w:webHidden/>
              </w:rPr>
              <w:tab/>
            </w:r>
            <w:r w:rsidR="00F27B64">
              <w:rPr>
                <w:webHidden/>
              </w:rPr>
              <w:fldChar w:fldCharType="begin"/>
            </w:r>
            <w:r w:rsidR="00F27B64">
              <w:rPr>
                <w:webHidden/>
              </w:rPr>
              <w:instrText xml:space="preserve"> PAGEREF _Toc184297697 \h </w:instrText>
            </w:r>
            <w:r w:rsidR="00F27B64">
              <w:rPr>
                <w:webHidden/>
              </w:rPr>
            </w:r>
            <w:r w:rsidR="00F27B64">
              <w:rPr>
                <w:webHidden/>
              </w:rPr>
              <w:fldChar w:fldCharType="separate"/>
            </w:r>
            <w:r w:rsidR="00F27B64">
              <w:rPr>
                <w:webHidden/>
              </w:rPr>
              <w:t>7</w:t>
            </w:r>
            <w:r w:rsidR="00F27B64">
              <w:rPr>
                <w:webHidden/>
              </w:rPr>
              <w:fldChar w:fldCharType="end"/>
            </w:r>
          </w:hyperlink>
        </w:p>
        <w:p w14:paraId="237191E2" w14:textId="1F0B95CD"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8" w:history="1">
            <w:r w:rsidR="00F27B64" w:rsidRPr="00203C50">
              <w:rPr>
                <w:rStyle w:val="Hyperlink"/>
              </w:rPr>
              <w:t>FRASER</w:t>
            </w:r>
            <w:r w:rsidR="00F27B64">
              <w:rPr>
                <w:webHidden/>
              </w:rPr>
              <w:tab/>
            </w:r>
            <w:r w:rsidR="00F27B64">
              <w:rPr>
                <w:webHidden/>
              </w:rPr>
              <w:fldChar w:fldCharType="begin"/>
            </w:r>
            <w:r w:rsidR="00F27B64">
              <w:rPr>
                <w:webHidden/>
              </w:rPr>
              <w:instrText xml:space="preserve"> PAGEREF _Toc184297698 \h </w:instrText>
            </w:r>
            <w:r w:rsidR="00F27B64">
              <w:rPr>
                <w:webHidden/>
              </w:rPr>
            </w:r>
            <w:r w:rsidR="00F27B64">
              <w:rPr>
                <w:webHidden/>
              </w:rPr>
              <w:fldChar w:fldCharType="separate"/>
            </w:r>
            <w:r w:rsidR="00F27B64">
              <w:rPr>
                <w:webHidden/>
              </w:rPr>
              <w:t>7</w:t>
            </w:r>
            <w:r w:rsidR="00F27B64">
              <w:rPr>
                <w:webHidden/>
              </w:rPr>
              <w:fldChar w:fldCharType="end"/>
            </w:r>
          </w:hyperlink>
        </w:p>
        <w:p w14:paraId="56F65E1F" w14:textId="7F6167F6"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699" w:history="1">
            <w:r w:rsidR="00F27B64" w:rsidRPr="00203C50">
              <w:rPr>
                <w:rStyle w:val="Hyperlink"/>
              </w:rPr>
              <w:t>DES FRANÇAIS</w:t>
            </w:r>
            <w:r w:rsidR="00F27B64">
              <w:rPr>
                <w:webHidden/>
              </w:rPr>
              <w:tab/>
            </w:r>
            <w:r w:rsidR="00F27B64">
              <w:rPr>
                <w:webHidden/>
              </w:rPr>
              <w:fldChar w:fldCharType="begin"/>
            </w:r>
            <w:r w:rsidR="00F27B64">
              <w:rPr>
                <w:webHidden/>
              </w:rPr>
              <w:instrText xml:space="preserve"> PAGEREF _Toc184297699 \h </w:instrText>
            </w:r>
            <w:r w:rsidR="00F27B64">
              <w:rPr>
                <w:webHidden/>
              </w:rPr>
            </w:r>
            <w:r w:rsidR="00F27B64">
              <w:rPr>
                <w:webHidden/>
              </w:rPr>
              <w:fldChar w:fldCharType="separate"/>
            </w:r>
            <w:r w:rsidR="00F27B64">
              <w:rPr>
                <w:webHidden/>
              </w:rPr>
              <w:t>8</w:t>
            </w:r>
            <w:r w:rsidR="00F27B64">
              <w:rPr>
                <w:webHidden/>
              </w:rPr>
              <w:fldChar w:fldCharType="end"/>
            </w:r>
          </w:hyperlink>
        </w:p>
        <w:p w14:paraId="4485AEFE" w14:textId="7D6102D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0" w:history="1">
            <w:r w:rsidR="00F27B64" w:rsidRPr="00203C50">
              <w:rPr>
                <w:rStyle w:val="Hyperlink"/>
              </w:rPr>
              <w:t>GRAND</w:t>
            </w:r>
            <w:r w:rsidR="00F27B64">
              <w:rPr>
                <w:webHidden/>
              </w:rPr>
              <w:tab/>
            </w:r>
            <w:r w:rsidR="00F27B64">
              <w:rPr>
                <w:webHidden/>
              </w:rPr>
              <w:fldChar w:fldCharType="begin"/>
            </w:r>
            <w:r w:rsidR="00F27B64">
              <w:rPr>
                <w:webHidden/>
              </w:rPr>
              <w:instrText xml:space="preserve"> PAGEREF _Toc184297700 \h </w:instrText>
            </w:r>
            <w:r w:rsidR="00F27B64">
              <w:rPr>
                <w:webHidden/>
              </w:rPr>
            </w:r>
            <w:r w:rsidR="00F27B64">
              <w:rPr>
                <w:webHidden/>
              </w:rPr>
              <w:fldChar w:fldCharType="separate"/>
            </w:r>
            <w:r w:rsidR="00F27B64">
              <w:rPr>
                <w:webHidden/>
              </w:rPr>
              <w:t>8</w:t>
            </w:r>
            <w:r w:rsidR="00F27B64">
              <w:rPr>
                <w:webHidden/>
              </w:rPr>
              <w:fldChar w:fldCharType="end"/>
            </w:r>
          </w:hyperlink>
        </w:p>
        <w:p w14:paraId="5797170C" w14:textId="6A47C1CB"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1" w:history="1">
            <w:r w:rsidR="00F27B64" w:rsidRPr="00203C50">
              <w:rPr>
                <w:rStyle w:val="Hyperlink"/>
              </w:rPr>
              <w:t xml:space="preserve">HARVAQTUUQ | </w:t>
            </w:r>
            <w:r w:rsidR="00F27B64" w:rsidRPr="00203C50">
              <w:rPr>
                <w:rStyle w:val="Hyperlink"/>
                <w:rFonts w:ascii="Gadugi" w:hAnsi="Gadugi"/>
              </w:rPr>
              <w:t>ᕼᐊᕐᕙᖅᑑᖅ</w:t>
            </w:r>
            <w:r w:rsidR="00F27B64" w:rsidRPr="00203C50">
              <w:rPr>
                <w:rStyle w:val="Hyperlink"/>
              </w:rPr>
              <w:t xml:space="preserve"> | KAZAN</w:t>
            </w:r>
            <w:r w:rsidR="00F27B64">
              <w:rPr>
                <w:webHidden/>
              </w:rPr>
              <w:tab/>
            </w:r>
            <w:r w:rsidR="00F27B64">
              <w:rPr>
                <w:webHidden/>
              </w:rPr>
              <w:fldChar w:fldCharType="begin"/>
            </w:r>
            <w:r w:rsidR="00F27B64">
              <w:rPr>
                <w:webHidden/>
              </w:rPr>
              <w:instrText xml:space="preserve"> PAGEREF _Toc184297701 \h </w:instrText>
            </w:r>
            <w:r w:rsidR="00F27B64">
              <w:rPr>
                <w:webHidden/>
              </w:rPr>
            </w:r>
            <w:r w:rsidR="00F27B64">
              <w:rPr>
                <w:webHidden/>
              </w:rPr>
              <w:fldChar w:fldCharType="separate"/>
            </w:r>
            <w:r w:rsidR="00F27B64">
              <w:rPr>
                <w:webHidden/>
              </w:rPr>
              <w:t>8</w:t>
            </w:r>
            <w:r w:rsidR="00F27B64">
              <w:rPr>
                <w:webHidden/>
              </w:rPr>
              <w:fldChar w:fldCharType="end"/>
            </w:r>
          </w:hyperlink>
        </w:p>
        <w:p w14:paraId="5A5BF9DB" w14:textId="0D49F869"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2" w:history="1">
            <w:r w:rsidR="00F27B64" w:rsidRPr="00203C50">
              <w:rPr>
                <w:rStyle w:val="Hyperlink"/>
              </w:rPr>
              <w:t>HILLSBOROUGH</w:t>
            </w:r>
            <w:r w:rsidR="00F27B64">
              <w:rPr>
                <w:webHidden/>
              </w:rPr>
              <w:tab/>
            </w:r>
            <w:r w:rsidR="00F27B64">
              <w:rPr>
                <w:webHidden/>
              </w:rPr>
              <w:fldChar w:fldCharType="begin"/>
            </w:r>
            <w:r w:rsidR="00F27B64">
              <w:rPr>
                <w:webHidden/>
              </w:rPr>
              <w:instrText xml:space="preserve"> PAGEREF _Toc184297702 \h </w:instrText>
            </w:r>
            <w:r w:rsidR="00F27B64">
              <w:rPr>
                <w:webHidden/>
              </w:rPr>
            </w:r>
            <w:r w:rsidR="00F27B64">
              <w:rPr>
                <w:webHidden/>
              </w:rPr>
              <w:fldChar w:fldCharType="separate"/>
            </w:r>
            <w:r w:rsidR="00F27B64">
              <w:rPr>
                <w:webHidden/>
              </w:rPr>
              <w:t>8</w:t>
            </w:r>
            <w:r w:rsidR="00F27B64">
              <w:rPr>
                <w:webHidden/>
              </w:rPr>
              <w:fldChar w:fldCharType="end"/>
            </w:r>
          </w:hyperlink>
        </w:p>
        <w:p w14:paraId="158D1FE0" w14:textId="002A1B6C"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3" w:history="1">
            <w:r w:rsidR="00F27B64" w:rsidRPr="00203C50">
              <w:rPr>
                <w:rStyle w:val="Hyperlink"/>
              </w:rPr>
              <w:t>HUMBER</w:t>
            </w:r>
            <w:r w:rsidR="00F27B64">
              <w:rPr>
                <w:webHidden/>
              </w:rPr>
              <w:tab/>
            </w:r>
            <w:r w:rsidR="00F27B64">
              <w:rPr>
                <w:webHidden/>
              </w:rPr>
              <w:fldChar w:fldCharType="begin"/>
            </w:r>
            <w:r w:rsidR="00F27B64">
              <w:rPr>
                <w:webHidden/>
              </w:rPr>
              <w:instrText xml:space="preserve"> PAGEREF _Toc184297703 \h </w:instrText>
            </w:r>
            <w:r w:rsidR="00F27B64">
              <w:rPr>
                <w:webHidden/>
              </w:rPr>
            </w:r>
            <w:r w:rsidR="00F27B64">
              <w:rPr>
                <w:webHidden/>
              </w:rPr>
              <w:fldChar w:fldCharType="separate"/>
            </w:r>
            <w:r w:rsidR="00F27B64">
              <w:rPr>
                <w:webHidden/>
              </w:rPr>
              <w:t>9</w:t>
            </w:r>
            <w:r w:rsidR="00F27B64">
              <w:rPr>
                <w:webHidden/>
              </w:rPr>
              <w:fldChar w:fldCharType="end"/>
            </w:r>
          </w:hyperlink>
        </w:p>
        <w:p w14:paraId="620C9BA1" w14:textId="43D6D2A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4" w:history="1">
            <w:r w:rsidR="00F27B64" w:rsidRPr="00203C50">
              <w:rPr>
                <w:rStyle w:val="Hyperlink"/>
              </w:rPr>
              <w:t xml:space="preserve">KANGIRJUAP | </w:t>
            </w:r>
            <w:r w:rsidR="00F27B64" w:rsidRPr="00203C50">
              <w:rPr>
                <w:rStyle w:val="Hyperlink"/>
                <w:rFonts w:ascii="Gadugi" w:hAnsi="Gadugi"/>
              </w:rPr>
              <w:t>ᑭᖏᕐᔪᐊᑉ</w:t>
            </w:r>
            <w:r w:rsidR="00F27B64" w:rsidRPr="00203C50">
              <w:rPr>
                <w:rStyle w:val="Hyperlink"/>
              </w:rPr>
              <w:t xml:space="preserve"> | THELON</w:t>
            </w:r>
            <w:r w:rsidR="00F27B64">
              <w:rPr>
                <w:webHidden/>
              </w:rPr>
              <w:tab/>
            </w:r>
            <w:r w:rsidR="00F27B64">
              <w:rPr>
                <w:webHidden/>
              </w:rPr>
              <w:fldChar w:fldCharType="begin"/>
            </w:r>
            <w:r w:rsidR="00F27B64">
              <w:rPr>
                <w:webHidden/>
              </w:rPr>
              <w:instrText xml:space="preserve"> PAGEREF _Toc184297704 \h </w:instrText>
            </w:r>
            <w:r w:rsidR="00F27B64">
              <w:rPr>
                <w:webHidden/>
              </w:rPr>
            </w:r>
            <w:r w:rsidR="00F27B64">
              <w:rPr>
                <w:webHidden/>
              </w:rPr>
              <w:fldChar w:fldCharType="separate"/>
            </w:r>
            <w:r w:rsidR="00F27B64">
              <w:rPr>
                <w:webHidden/>
              </w:rPr>
              <w:t>9</w:t>
            </w:r>
            <w:r w:rsidR="00F27B64">
              <w:rPr>
                <w:webHidden/>
              </w:rPr>
              <w:fldChar w:fldCharType="end"/>
            </w:r>
          </w:hyperlink>
        </w:p>
        <w:p w14:paraId="18BB65BA" w14:textId="119B381C"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5" w:history="1">
            <w:r w:rsidR="00F27B64" w:rsidRPr="00203C50">
              <w:rPr>
                <w:rStyle w:val="Hyperlink"/>
              </w:rPr>
              <w:t>KICKING HORSE</w:t>
            </w:r>
            <w:r w:rsidR="00F27B64">
              <w:rPr>
                <w:webHidden/>
              </w:rPr>
              <w:tab/>
            </w:r>
            <w:r w:rsidR="00F27B64">
              <w:rPr>
                <w:webHidden/>
              </w:rPr>
              <w:fldChar w:fldCharType="begin"/>
            </w:r>
            <w:r w:rsidR="00F27B64">
              <w:rPr>
                <w:webHidden/>
              </w:rPr>
              <w:instrText xml:space="preserve"> PAGEREF _Toc184297705 \h </w:instrText>
            </w:r>
            <w:r w:rsidR="00F27B64">
              <w:rPr>
                <w:webHidden/>
              </w:rPr>
            </w:r>
            <w:r w:rsidR="00F27B64">
              <w:rPr>
                <w:webHidden/>
              </w:rPr>
              <w:fldChar w:fldCharType="separate"/>
            </w:r>
            <w:r w:rsidR="00F27B64">
              <w:rPr>
                <w:webHidden/>
              </w:rPr>
              <w:t>9</w:t>
            </w:r>
            <w:r w:rsidR="00F27B64">
              <w:rPr>
                <w:webHidden/>
              </w:rPr>
              <w:fldChar w:fldCharType="end"/>
            </w:r>
          </w:hyperlink>
        </w:p>
        <w:p w14:paraId="683A5C2C" w14:textId="40C753A6"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6" w:history="1">
            <w:r w:rsidR="00F27B64" w:rsidRPr="00203C50">
              <w:rPr>
                <w:rStyle w:val="Hyperlink"/>
              </w:rPr>
              <w:t>MAIN</w:t>
            </w:r>
            <w:r w:rsidR="00F27B64">
              <w:rPr>
                <w:webHidden/>
              </w:rPr>
              <w:tab/>
            </w:r>
            <w:r w:rsidR="00F27B64">
              <w:rPr>
                <w:webHidden/>
              </w:rPr>
              <w:fldChar w:fldCharType="begin"/>
            </w:r>
            <w:r w:rsidR="00F27B64">
              <w:rPr>
                <w:webHidden/>
              </w:rPr>
              <w:instrText xml:space="preserve"> PAGEREF _Toc184297706 \h </w:instrText>
            </w:r>
            <w:r w:rsidR="00F27B64">
              <w:rPr>
                <w:webHidden/>
              </w:rPr>
            </w:r>
            <w:r w:rsidR="00F27B64">
              <w:rPr>
                <w:webHidden/>
              </w:rPr>
              <w:fldChar w:fldCharType="separate"/>
            </w:r>
            <w:r w:rsidR="00F27B64">
              <w:rPr>
                <w:webHidden/>
              </w:rPr>
              <w:t>10</w:t>
            </w:r>
            <w:r w:rsidR="00F27B64">
              <w:rPr>
                <w:webHidden/>
              </w:rPr>
              <w:fldChar w:fldCharType="end"/>
            </w:r>
          </w:hyperlink>
        </w:p>
        <w:p w14:paraId="21EEE864" w14:textId="771A9E11"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7" w:history="1">
            <w:r w:rsidR="00F27B64" w:rsidRPr="00203C50">
              <w:rPr>
                <w:rStyle w:val="Hyperlink"/>
              </w:rPr>
              <w:t>MARGAREE</w:t>
            </w:r>
            <w:r w:rsidR="00F27B64">
              <w:rPr>
                <w:webHidden/>
              </w:rPr>
              <w:tab/>
            </w:r>
            <w:r w:rsidR="00F27B64">
              <w:rPr>
                <w:webHidden/>
              </w:rPr>
              <w:fldChar w:fldCharType="begin"/>
            </w:r>
            <w:r w:rsidR="00F27B64">
              <w:rPr>
                <w:webHidden/>
              </w:rPr>
              <w:instrText xml:space="preserve"> PAGEREF _Toc184297707 \h </w:instrText>
            </w:r>
            <w:r w:rsidR="00F27B64">
              <w:rPr>
                <w:webHidden/>
              </w:rPr>
            </w:r>
            <w:r w:rsidR="00F27B64">
              <w:rPr>
                <w:webHidden/>
              </w:rPr>
              <w:fldChar w:fldCharType="separate"/>
            </w:r>
            <w:r w:rsidR="00F27B64">
              <w:rPr>
                <w:webHidden/>
              </w:rPr>
              <w:t>10</w:t>
            </w:r>
            <w:r w:rsidR="00F27B64">
              <w:rPr>
                <w:webHidden/>
              </w:rPr>
              <w:fldChar w:fldCharType="end"/>
            </w:r>
          </w:hyperlink>
        </w:p>
        <w:p w14:paraId="65560716" w14:textId="05F85591"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8" w:history="1">
            <w:r w:rsidR="00F27B64" w:rsidRPr="00203C50">
              <w:rPr>
                <w:rStyle w:val="Hyperlink"/>
              </w:rPr>
              <w:t>KISIPIKAMAWI SIPI | APIHT SIPI| HAYES</w:t>
            </w:r>
            <w:r w:rsidR="00F27B64">
              <w:rPr>
                <w:webHidden/>
              </w:rPr>
              <w:tab/>
            </w:r>
            <w:r w:rsidR="00F27B64">
              <w:rPr>
                <w:webHidden/>
              </w:rPr>
              <w:fldChar w:fldCharType="begin"/>
            </w:r>
            <w:r w:rsidR="00F27B64">
              <w:rPr>
                <w:webHidden/>
              </w:rPr>
              <w:instrText xml:space="preserve"> PAGEREF _Toc184297708 \h </w:instrText>
            </w:r>
            <w:r w:rsidR="00F27B64">
              <w:rPr>
                <w:webHidden/>
              </w:rPr>
            </w:r>
            <w:r w:rsidR="00F27B64">
              <w:rPr>
                <w:webHidden/>
              </w:rPr>
              <w:fldChar w:fldCharType="separate"/>
            </w:r>
            <w:r w:rsidR="00F27B64">
              <w:rPr>
                <w:webHidden/>
              </w:rPr>
              <w:t>10</w:t>
            </w:r>
            <w:r w:rsidR="00F27B64">
              <w:rPr>
                <w:webHidden/>
              </w:rPr>
              <w:fldChar w:fldCharType="end"/>
            </w:r>
          </w:hyperlink>
        </w:p>
        <w:p w14:paraId="305AD120" w14:textId="268B94C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09" w:history="1">
            <w:r w:rsidR="00F27B64" w:rsidRPr="00203C50">
              <w:rPr>
                <w:rStyle w:val="Hyperlink"/>
              </w:rPr>
              <w:t xml:space="preserve">KUGLUKTUK | </w:t>
            </w:r>
            <w:r w:rsidR="00F27B64" w:rsidRPr="00203C50">
              <w:rPr>
                <w:rStyle w:val="Hyperlink"/>
                <w:rFonts w:ascii="Gadugi" w:hAnsi="Gadugi"/>
              </w:rPr>
              <w:t>ᑯᒡᓗᒃᑐᒃ</w:t>
            </w:r>
            <w:r w:rsidR="00F27B64" w:rsidRPr="00203C50">
              <w:rPr>
                <w:rStyle w:val="Hyperlink"/>
              </w:rPr>
              <w:t xml:space="preserve"> | COPPERMINE (MISE EN CANDIDATURE)</w:t>
            </w:r>
            <w:r w:rsidR="00F27B64">
              <w:rPr>
                <w:webHidden/>
              </w:rPr>
              <w:tab/>
            </w:r>
            <w:r w:rsidR="00F27B64">
              <w:rPr>
                <w:webHidden/>
              </w:rPr>
              <w:fldChar w:fldCharType="begin"/>
            </w:r>
            <w:r w:rsidR="00F27B64">
              <w:rPr>
                <w:webHidden/>
              </w:rPr>
              <w:instrText xml:space="preserve"> PAGEREF _Toc184297709 \h </w:instrText>
            </w:r>
            <w:r w:rsidR="00F27B64">
              <w:rPr>
                <w:webHidden/>
              </w:rPr>
            </w:r>
            <w:r w:rsidR="00F27B64">
              <w:rPr>
                <w:webHidden/>
              </w:rPr>
              <w:fldChar w:fldCharType="separate"/>
            </w:r>
            <w:r w:rsidR="00F27B64">
              <w:rPr>
                <w:webHidden/>
              </w:rPr>
              <w:t>10</w:t>
            </w:r>
            <w:r w:rsidR="00F27B64">
              <w:rPr>
                <w:webHidden/>
              </w:rPr>
              <w:fldChar w:fldCharType="end"/>
            </w:r>
          </w:hyperlink>
        </w:p>
        <w:p w14:paraId="27159550" w14:textId="2DE7C8A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0" w:history="1">
            <w:r w:rsidR="00F27B64" w:rsidRPr="00203C50">
              <w:rPr>
                <w:rStyle w:val="Hyperlink"/>
              </w:rPr>
              <w:t xml:space="preserve">KUUJJUAQ | </w:t>
            </w:r>
            <w:r w:rsidR="00F27B64" w:rsidRPr="00203C50">
              <w:rPr>
                <w:rStyle w:val="Hyperlink"/>
                <w:rFonts w:ascii="Gadugi" w:hAnsi="Gadugi"/>
              </w:rPr>
              <w:t>ᑳᔾᔪᐊᖅ</w:t>
            </w:r>
            <w:r w:rsidR="00F27B64" w:rsidRPr="00203C50">
              <w:rPr>
                <w:rStyle w:val="Hyperlink"/>
              </w:rPr>
              <w:t xml:space="preserve"> | SOPER</w:t>
            </w:r>
            <w:r w:rsidR="00F27B64">
              <w:rPr>
                <w:webHidden/>
              </w:rPr>
              <w:tab/>
            </w:r>
            <w:r w:rsidR="00F27B64">
              <w:rPr>
                <w:webHidden/>
              </w:rPr>
              <w:fldChar w:fldCharType="begin"/>
            </w:r>
            <w:r w:rsidR="00F27B64">
              <w:rPr>
                <w:webHidden/>
              </w:rPr>
              <w:instrText xml:space="preserve"> PAGEREF _Toc184297710 \h </w:instrText>
            </w:r>
            <w:r w:rsidR="00F27B64">
              <w:rPr>
                <w:webHidden/>
              </w:rPr>
            </w:r>
            <w:r w:rsidR="00F27B64">
              <w:rPr>
                <w:webHidden/>
              </w:rPr>
              <w:fldChar w:fldCharType="separate"/>
            </w:r>
            <w:r w:rsidR="00F27B64">
              <w:rPr>
                <w:webHidden/>
              </w:rPr>
              <w:t>11</w:t>
            </w:r>
            <w:r w:rsidR="00F27B64">
              <w:rPr>
                <w:webHidden/>
              </w:rPr>
              <w:fldChar w:fldCharType="end"/>
            </w:r>
          </w:hyperlink>
        </w:p>
        <w:p w14:paraId="020DEBFE" w14:textId="70F343C6"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1" w:history="1">
            <w:r w:rsidR="00F27B64" w:rsidRPr="00203C50">
              <w:rPr>
                <w:rStyle w:val="Hyperlink"/>
              </w:rPr>
              <w:t>LISTUGUJ | HAUTE-RESTIGOUCHE</w:t>
            </w:r>
            <w:r w:rsidR="00F27B64">
              <w:rPr>
                <w:webHidden/>
              </w:rPr>
              <w:tab/>
            </w:r>
            <w:r w:rsidR="00F27B64">
              <w:rPr>
                <w:webHidden/>
              </w:rPr>
              <w:fldChar w:fldCharType="begin"/>
            </w:r>
            <w:r w:rsidR="00F27B64">
              <w:rPr>
                <w:webHidden/>
              </w:rPr>
              <w:instrText xml:space="preserve"> PAGEREF _Toc184297711 \h </w:instrText>
            </w:r>
            <w:r w:rsidR="00F27B64">
              <w:rPr>
                <w:webHidden/>
              </w:rPr>
            </w:r>
            <w:r w:rsidR="00F27B64">
              <w:rPr>
                <w:webHidden/>
              </w:rPr>
              <w:fldChar w:fldCharType="separate"/>
            </w:r>
            <w:r w:rsidR="00F27B64">
              <w:rPr>
                <w:webHidden/>
              </w:rPr>
              <w:t>11</w:t>
            </w:r>
            <w:r w:rsidR="00F27B64">
              <w:rPr>
                <w:webHidden/>
              </w:rPr>
              <w:fldChar w:fldCharType="end"/>
            </w:r>
          </w:hyperlink>
        </w:p>
        <w:p w14:paraId="6B231F26" w14:textId="0B87E21D"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2" w:history="1">
            <w:r w:rsidR="00F27B64" w:rsidRPr="00203C50">
              <w:rPr>
                <w:rStyle w:val="Hyperlink"/>
              </w:rPr>
              <w:t>MATTAWA</w:t>
            </w:r>
            <w:r w:rsidR="00F27B64">
              <w:rPr>
                <w:webHidden/>
              </w:rPr>
              <w:tab/>
            </w:r>
            <w:r w:rsidR="00F27B64">
              <w:rPr>
                <w:webHidden/>
              </w:rPr>
              <w:fldChar w:fldCharType="begin"/>
            </w:r>
            <w:r w:rsidR="00F27B64">
              <w:rPr>
                <w:webHidden/>
              </w:rPr>
              <w:instrText xml:space="preserve"> PAGEREF _Toc184297712 \h </w:instrText>
            </w:r>
            <w:r w:rsidR="00F27B64">
              <w:rPr>
                <w:webHidden/>
              </w:rPr>
            </w:r>
            <w:r w:rsidR="00F27B64">
              <w:rPr>
                <w:webHidden/>
              </w:rPr>
              <w:fldChar w:fldCharType="separate"/>
            </w:r>
            <w:r w:rsidR="00F27B64">
              <w:rPr>
                <w:webHidden/>
              </w:rPr>
              <w:t>11</w:t>
            </w:r>
            <w:r w:rsidR="00F27B64">
              <w:rPr>
                <w:webHidden/>
              </w:rPr>
              <w:fldChar w:fldCharType="end"/>
            </w:r>
          </w:hyperlink>
        </w:p>
        <w:p w14:paraId="3D6EF7A2" w14:textId="3BCB1C34"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3" w:history="1">
            <w:r w:rsidR="00F27B64" w:rsidRPr="00203C50">
              <w:rPr>
                <w:rStyle w:val="Hyperlink"/>
              </w:rPr>
              <w:t>MISKWEWESIBI | MISKWEYAABIZIIBEE | BLOODVEIN (MANITOBA)</w:t>
            </w:r>
            <w:r w:rsidR="00F27B64">
              <w:rPr>
                <w:webHidden/>
              </w:rPr>
              <w:tab/>
            </w:r>
            <w:r w:rsidR="00F27B64">
              <w:rPr>
                <w:webHidden/>
              </w:rPr>
              <w:fldChar w:fldCharType="begin"/>
            </w:r>
            <w:r w:rsidR="00F27B64">
              <w:rPr>
                <w:webHidden/>
              </w:rPr>
              <w:instrText xml:space="preserve"> PAGEREF _Toc184297713 \h </w:instrText>
            </w:r>
            <w:r w:rsidR="00F27B64">
              <w:rPr>
                <w:webHidden/>
              </w:rPr>
            </w:r>
            <w:r w:rsidR="00F27B64">
              <w:rPr>
                <w:webHidden/>
              </w:rPr>
              <w:fldChar w:fldCharType="separate"/>
            </w:r>
            <w:r w:rsidR="00F27B64">
              <w:rPr>
                <w:webHidden/>
              </w:rPr>
              <w:t>12</w:t>
            </w:r>
            <w:r w:rsidR="00F27B64">
              <w:rPr>
                <w:webHidden/>
              </w:rPr>
              <w:fldChar w:fldCharType="end"/>
            </w:r>
          </w:hyperlink>
        </w:p>
        <w:p w14:paraId="651ED1F3" w14:textId="5A1C8388"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4" w:history="1">
            <w:r w:rsidR="00F27B64" w:rsidRPr="00203C50">
              <w:rPr>
                <w:rStyle w:val="Hyperlink"/>
              </w:rPr>
              <w:t>MISSINAIBI</w:t>
            </w:r>
            <w:r w:rsidR="00F27B64">
              <w:rPr>
                <w:webHidden/>
              </w:rPr>
              <w:tab/>
            </w:r>
            <w:r w:rsidR="00F27B64">
              <w:rPr>
                <w:webHidden/>
              </w:rPr>
              <w:fldChar w:fldCharType="begin"/>
            </w:r>
            <w:r w:rsidR="00F27B64">
              <w:rPr>
                <w:webHidden/>
              </w:rPr>
              <w:instrText xml:space="preserve"> PAGEREF _Toc184297714 \h </w:instrText>
            </w:r>
            <w:r w:rsidR="00F27B64">
              <w:rPr>
                <w:webHidden/>
              </w:rPr>
            </w:r>
            <w:r w:rsidR="00F27B64">
              <w:rPr>
                <w:webHidden/>
              </w:rPr>
              <w:fldChar w:fldCharType="separate"/>
            </w:r>
            <w:r w:rsidR="00F27B64">
              <w:rPr>
                <w:webHidden/>
              </w:rPr>
              <w:t>12</w:t>
            </w:r>
            <w:r w:rsidR="00F27B64">
              <w:rPr>
                <w:webHidden/>
              </w:rPr>
              <w:fldChar w:fldCharType="end"/>
            </w:r>
          </w:hyperlink>
        </w:p>
        <w:p w14:paraId="6A6937C8" w14:textId="2C63D563"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5" w:history="1">
            <w:r w:rsidR="00F27B64" w:rsidRPr="00203C50">
              <w:rPr>
                <w:rStyle w:val="Hyperlink"/>
              </w:rPr>
              <w:t>NAHʔĄ DEHÉ | NAHANNI SUD</w:t>
            </w:r>
            <w:r w:rsidR="00F27B64">
              <w:rPr>
                <w:webHidden/>
              </w:rPr>
              <w:tab/>
            </w:r>
            <w:r w:rsidR="00F27B64">
              <w:rPr>
                <w:webHidden/>
              </w:rPr>
              <w:fldChar w:fldCharType="begin"/>
            </w:r>
            <w:r w:rsidR="00F27B64">
              <w:rPr>
                <w:webHidden/>
              </w:rPr>
              <w:instrText xml:space="preserve"> PAGEREF _Toc184297715 \h </w:instrText>
            </w:r>
            <w:r w:rsidR="00F27B64">
              <w:rPr>
                <w:webHidden/>
              </w:rPr>
            </w:r>
            <w:r w:rsidR="00F27B64">
              <w:rPr>
                <w:webHidden/>
              </w:rPr>
              <w:fldChar w:fldCharType="separate"/>
            </w:r>
            <w:r w:rsidR="00F27B64">
              <w:rPr>
                <w:webHidden/>
              </w:rPr>
              <w:t>12</w:t>
            </w:r>
            <w:r w:rsidR="00F27B64">
              <w:rPr>
                <w:webHidden/>
              </w:rPr>
              <w:fldChar w:fldCharType="end"/>
            </w:r>
          </w:hyperlink>
        </w:p>
        <w:p w14:paraId="618DF20F" w14:textId="35E531CB"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6" w:history="1">
            <w:r w:rsidR="00F27B64" w:rsidRPr="00203C50">
              <w:rPr>
                <w:rStyle w:val="Hyperlink"/>
              </w:rPr>
              <w:t>SASKATCHEWAN NORD (PARC NATIONAL BANFF)</w:t>
            </w:r>
            <w:r w:rsidR="00F27B64">
              <w:rPr>
                <w:webHidden/>
              </w:rPr>
              <w:tab/>
            </w:r>
            <w:r w:rsidR="00F27B64">
              <w:rPr>
                <w:webHidden/>
              </w:rPr>
              <w:fldChar w:fldCharType="begin"/>
            </w:r>
            <w:r w:rsidR="00F27B64">
              <w:rPr>
                <w:webHidden/>
              </w:rPr>
              <w:instrText xml:space="preserve"> PAGEREF _Toc184297716 \h </w:instrText>
            </w:r>
            <w:r w:rsidR="00F27B64">
              <w:rPr>
                <w:webHidden/>
              </w:rPr>
            </w:r>
            <w:r w:rsidR="00F27B64">
              <w:rPr>
                <w:webHidden/>
              </w:rPr>
              <w:fldChar w:fldCharType="separate"/>
            </w:r>
            <w:r w:rsidR="00F27B64">
              <w:rPr>
                <w:webHidden/>
              </w:rPr>
              <w:t>12</w:t>
            </w:r>
            <w:r w:rsidR="00F27B64">
              <w:rPr>
                <w:webHidden/>
              </w:rPr>
              <w:fldChar w:fldCharType="end"/>
            </w:r>
          </w:hyperlink>
        </w:p>
        <w:p w14:paraId="1D8C13B3" w14:textId="0B1BEF87"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7" w:history="1">
            <w:r w:rsidR="00F27B64" w:rsidRPr="00203C50">
              <w:rPr>
                <w:rStyle w:val="Hyperlink"/>
              </w:rPr>
              <w:t>OUTAOUTAIS</w:t>
            </w:r>
            <w:r w:rsidR="00F27B64">
              <w:rPr>
                <w:webHidden/>
              </w:rPr>
              <w:tab/>
            </w:r>
            <w:r w:rsidR="00F27B64">
              <w:rPr>
                <w:webHidden/>
              </w:rPr>
              <w:fldChar w:fldCharType="begin"/>
            </w:r>
            <w:r w:rsidR="00F27B64">
              <w:rPr>
                <w:webHidden/>
              </w:rPr>
              <w:instrText xml:space="preserve"> PAGEREF _Toc184297717 \h </w:instrText>
            </w:r>
            <w:r w:rsidR="00F27B64">
              <w:rPr>
                <w:webHidden/>
              </w:rPr>
            </w:r>
            <w:r w:rsidR="00F27B64">
              <w:rPr>
                <w:webHidden/>
              </w:rPr>
              <w:fldChar w:fldCharType="separate"/>
            </w:r>
            <w:r w:rsidR="00F27B64">
              <w:rPr>
                <w:webHidden/>
              </w:rPr>
              <w:t>13</w:t>
            </w:r>
            <w:r w:rsidR="00F27B64">
              <w:rPr>
                <w:webHidden/>
              </w:rPr>
              <w:fldChar w:fldCharType="end"/>
            </w:r>
          </w:hyperlink>
        </w:p>
        <w:p w14:paraId="21DC833C" w14:textId="42CAC68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8" w:history="1">
            <w:r w:rsidR="00F27B64" w:rsidRPr="00203C50">
              <w:rPr>
                <w:rStyle w:val="Hyperlink"/>
              </w:rPr>
              <w:t>QUW'UTSUN | COWICHAN</w:t>
            </w:r>
            <w:r w:rsidR="00F27B64">
              <w:rPr>
                <w:webHidden/>
              </w:rPr>
              <w:tab/>
            </w:r>
            <w:r w:rsidR="00F27B64">
              <w:rPr>
                <w:webHidden/>
              </w:rPr>
              <w:fldChar w:fldCharType="begin"/>
            </w:r>
            <w:r w:rsidR="00F27B64">
              <w:rPr>
                <w:webHidden/>
              </w:rPr>
              <w:instrText xml:space="preserve"> PAGEREF _Toc184297718 \h </w:instrText>
            </w:r>
            <w:r w:rsidR="00F27B64">
              <w:rPr>
                <w:webHidden/>
              </w:rPr>
            </w:r>
            <w:r w:rsidR="00F27B64">
              <w:rPr>
                <w:webHidden/>
              </w:rPr>
              <w:fldChar w:fldCharType="separate"/>
            </w:r>
            <w:r w:rsidR="00F27B64">
              <w:rPr>
                <w:webHidden/>
              </w:rPr>
              <w:t>13</w:t>
            </w:r>
            <w:r w:rsidR="00F27B64">
              <w:rPr>
                <w:webHidden/>
              </w:rPr>
              <w:fldChar w:fldCharType="end"/>
            </w:r>
          </w:hyperlink>
        </w:p>
        <w:p w14:paraId="23A35A08" w14:textId="58293124"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19" w:history="1">
            <w:r w:rsidR="00F27B64" w:rsidRPr="00203C50">
              <w:rPr>
                <w:rStyle w:val="Hyperlink"/>
              </w:rPr>
              <w:t>ROUGE</w:t>
            </w:r>
            <w:r w:rsidR="00F27B64">
              <w:rPr>
                <w:webHidden/>
              </w:rPr>
              <w:tab/>
            </w:r>
            <w:r w:rsidR="00F27B64">
              <w:rPr>
                <w:webHidden/>
              </w:rPr>
              <w:fldChar w:fldCharType="begin"/>
            </w:r>
            <w:r w:rsidR="00F27B64">
              <w:rPr>
                <w:webHidden/>
              </w:rPr>
              <w:instrText xml:space="preserve"> PAGEREF _Toc184297719 \h </w:instrText>
            </w:r>
            <w:r w:rsidR="00F27B64">
              <w:rPr>
                <w:webHidden/>
              </w:rPr>
            </w:r>
            <w:r w:rsidR="00F27B64">
              <w:rPr>
                <w:webHidden/>
              </w:rPr>
              <w:fldChar w:fldCharType="separate"/>
            </w:r>
            <w:r w:rsidR="00F27B64">
              <w:rPr>
                <w:webHidden/>
              </w:rPr>
              <w:t>13</w:t>
            </w:r>
            <w:r w:rsidR="00F27B64">
              <w:rPr>
                <w:webHidden/>
              </w:rPr>
              <w:fldChar w:fldCharType="end"/>
            </w:r>
          </w:hyperlink>
        </w:p>
        <w:p w14:paraId="4CC1B873" w14:textId="65F34C9E"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0" w:history="1">
            <w:r w:rsidR="00F27B64" w:rsidRPr="00203C50">
              <w:rPr>
                <w:rStyle w:val="Hyperlink"/>
              </w:rPr>
              <w:t>RIDEAU</w:t>
            </w:r>
            <w:r w:rsidR="00F27B64">
              <w:rPr>
                <w:webHidden/>
              </w:rPr>
              <w:tab/>
            </w:r>
            <w:r w:rsidR="00F27B64">
              <w:rPr>
                <w:webHidden/>
              </w:rPr>
              <w:fldChar w:fldCharType="begin"/>
            </w:r>
            <w:r w:rsidR="00F27B64">
              <w:rPr>
                <w:webHidden/>
              </w:rPr>
              <w:instrText xml:space="preserve"> PAGEREF _Toc184297720 \h </w:instrText>
            </w:r>
            <w:r w:rsidR="00F27B64">
              <w:rPr>
                <w:webHidden/>
              </w:rPr>
            </w:r>
            <w:r w:rsidR="00F27B64">
              <w:rPr>
                <w:webHidden/>
              </w:rPr>
              <w:fldChar w:fldCharType="separate"/>
            </w:r>
            <w:r w:rsidR="00F27B64">
              <w:rPr>
                <w:webHidden/>
              </w:rPr>
              <w:t>13</w:t>
            </w:r>
            <w:r w:rsidR="00F27B64">
              <w:rPr>
                <w:webHidden/>
              </w:rPr>
              <w:fldChar w:fldCharType="end"/>
            </w:r>
          </w:hyperlink>
        </w:p>
        <w:p w14:paraId="3ECE01EC" w14:textId="45D065E9"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1" w:history="1">
            <w:r w:rsidR="00F27B64" w:rsidRPr="00203C50">
              <w:rPr>
                <w:rStyle w:val="Hyperlink"/>
              </w:rPr>
              <w:t>SHELBURNE</w:t>
            </w:r>
            <w:r w:rsidR="00F27B64">
              <w:rPr>
                <w:webHidden/>
              </w:rPr>
              <w:tab/>
            </w:r>
            <w:r w:rsidR="00F27B64">
              <w:rPr>
                <w:webHidden/>
              </w:rPr>
              <w:fldChar w:fldCharType="begin"/>
            </w:r>
            <w:r w:rsidR="00F27B64">
              <w:rPr>
                <w:webHidden/>
              </w:rPr>
              <w:instrText xml:space="preserve"> PAGEREF _Toc184297721 \h </w:instrText>
            </w:r>
            <w:r w:rsidR="00F27B64">
              <w:rPr>
                <w:webHidden/>
              </w:rPr>
            </w:r>
            <w:r w:rsidR="00F27B64">
              <w:rPr>
                <w:webHidden/>
              </w:rPr>
              <w:fldChar w:fldCharType="separate"/>
            </w:r>
            <w:r w:rsidR="00F27B64">
              <w:rPr>
                <w:webHidden/>
              </w:rPr>
              <w:t>14</w:t>
            </w:r>
            <w:r w:rsidR="00F27B64">
              <w:rPr>
                <w:webHidden/>
              </w:rPr>
              <w:fldChar w:fldCharType="end"/>
            </w:r>
          </w:hyperlink>
        </w:p>
        <w:p w14:paraId="002C9507" w14:textId="350CD3CE"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2" w:history="1">
            <w:r w:rsidR="00F27B64" w:rsidRPr="00203C50">
              <w:rPr>
                <w:rStyle w:val="Hyperlink"/>
              </w:rPr>
              <w:t>SAINTE-CROIX</w:t>
            </w:r>
            <w:r w:rsidR="00F27B64">
              <w:rPr>
                <w:webHidden/>
              </w:rPr>
              <w:tab/>
            </w:r>
            <w:r w:rsidR="00F27B64">
              <w:rPr>
                <w:webHidden/>
              </w:rPr>
              <w:fldChar w:fldCharType="begin"/>
            </w:r>
            <w:r w:rsidR="00F27B64">
              <w:rPr>
                <w:webHidden/>
              </w:rPr>
              <w:instrText xml:space="preserve"> PAGEREF _Toc184297722 \h </w:instrText>
            </w:r>
            <w:r w:rsidR="00F27B64">
              <w:rPr>
                <w:webHidden/>
              </w:rPr>
            </w:r>
            <w:r w:rsidR="00F27B64">
              <w:rPr>
                <w:webHidden/>
              </w:rPr>
              <w:fldChar w:fldCharType="separate"/>
            </w:r>
            <w:r w:rsidR="00F27B64">
              <w:rPr>
                <w:webHidden/>
              </w:rPr>
              <w:t>14</w:t>
            </w:r>
            <w:r w:rsidR="00F27B64">
              <w:rPr>
                <w:webHidden/>
              </w:rPr>
              <w:fldChar w:fldCharType="end"/>
            </w:r>
          </w:hyperlink>
        </w:p>
        <w:p w14:paraId="495DDC4C" w14:textId="0880468A"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3" w:history="1">
            <w:r w:rsidR="00F27B64" w:rsidRPr="00203C50">
              <w:rPr>
                <w:rStyle w:val="Hyperlink"/>
              </w:rPr>
              <w:t>SAINT-JEAN</w:t>
            </w:r>
            <w:r w:rsidR="00F27B64">
              <w:rPr>
                <w:webHidden/>
              </w:rPr>
              <w:tab/>
            </w:r>
            <w:r w:rsidR="00F27B64">
              <w:rPr>
                <w:webHidden/>
              </w:rPr>
              <w:fldChar w:fldCharType="begin"/>
            </w:r>
            <w:r w:rsidR="00F27B64">
              <w:rPr>
                <w:webHidden/>
              </w:rPr>
              <w:instrText xml:space="preserve"> PAGEREF _Toc184297723 \h </w:instrText>
            </w:r>
            <w:r w:rsidR="00F27B64">
              <w:rPr>
                <w:webHidden/>
              </w:rPr>
            </w:r>
            <w:r w:rsidR="00F27B64">
              <w:rPr>
                <w:webHidden/>
              </w:rPr>
              <w:fldChar w:fldCharType="separate"/>
            </w:r>
            <w:r w:rsidR="00F27B64">
              <w:rPr>
                <w:webHidden/>
              </w:rPr>
              <w:t>14</w:t>
            </w:r>
            <w:r w:rsidR="00F27B64">
              <w:rPr>
                <w:webHidden/>
              </w:rPr>
              <w:fldChar w:fldCharType="end"/>
            </w:r>
          </w:hyperlink>
        </w:p>
        <w:p w14:paraId="30D936A3" w14:textId="5FCB906D"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4" w:history="1">
            <w:r w:rsidR="00F27B64" w:rsidRPr="00203C50">
              <w:rPr>
                <w:rStyle w:val="Hyperlink"/>
              </w:rPr>
              <w:t>STE-MARIE</w:t>
            </w:r>
            <w:r w:rsidR="00F27B64">
              <w:rPr>
                <w:webHidden/>
              </w:rPr>
              <w:tab/>
            </w:r>
            <w:r w:rsidR="00F27B64">
              <w:rPr>
                <w:webHidden/>
              </w:rPr>
              <w:fldChar w:fldCharType="begin"/>
            </w:r>
            <w:r w:rsidR="00F27B64">
              <w:rPr>
                <w:webHidden/>
              </w:rPr>
              <w:instrText xml:space="preserve"> PAGEREF _Toc184297724 \h </w:instrText>
            </w:r>
            <w:r w:rsidR="00F27B64">
              <w:rPr>
                <w:webHidden/>
              </w:rPr>
            </w:r>
            <w:r w:rsidR="00F27B64">
              <w:rPr>
                <w:webHidden/>
              </w:rPr>
              <w:fldChar w:fldCharType="separate"/>
            </w:r>
            <w:r w:rsidR="00F27B64">
              <w:rPr>
                <w:webHidden/>
              </w:rPr>
              <w:t>14</w:t>
            </w:r>
            <w:r w:rsidR="00F27B64">
              <w:rPr>
                <w:webHidden/>
              </w:rPr>
              <w:fldChar w:fldCharType="end"/>
            </w:r>
          </w:hyperlink>
        </w:p>
        <w:p w14:paraId="1811EA14" w14:textId="3FE39515"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5" w:history="1">
            <w:r w:rsidR="00F27B64" w:rsidRPr="00203C50">
              <w:rPr>
                <w:rStyle w:val="Hyperlink"/>
              </w:rPr>
              <w:t>TÄGÀ SHÄW | THIRTY MILE</w:t>
            </w:r>
            <w:r w:rsidR="00F27B64">
              <w:rPr>
                <w:webHidden/>
              </w:rPr>
              <w:tab/>
            </w:r>
            <w:r w:rsidR="00F27B64">
              <w:rPr>
                <w:webHidden/>
              </w:rPr>
              <w:fldChar w:fldCharType="begin"/>
            </w:r>
            <w:r w:rsidR="00F27B64">
              <w:rPr>
                <w:webHidden/>
              </w:rPr>
              <w:instrText xml:space="preserve"> PAGEREF _Toc184297725 \h </w:instrText>
            </w:r>
            <w:r w:rsidR="00F27B64">
              <w:rPr>
                <w:webHidden/>
              </w:rPr>
            </w:r>
            <w:r w:rsidR="00F27B64">
              <w:rPr>
                <w:webHidden/>
              </w:rPr>
              <w:fldChar w:fldCharType="separate"/>
            </w:r>
            <w:r w:rsidR="00F27B64">
              <w:rPr>
                <w:webHidden/>
              </w:rPr>
              <w:t>15</w:t>
            </w:r>
            <w:r w:rsidR="00F27B64">
              <w:rPr>
                <w:webHidden/>
              </w:rPr>
              <w:fldChar w:fldCharType="end"/>
            </w:r>
          </w:hyperlink>
        </w:p>
        <w:p w14:paraId="024DB319" w14:textId="69562C60"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6" w:history="1">
            <w:r w:rsidR="00F27B64" w:rsidRPr="00203C50">
              <w:rPr>
                <w:rStyle w:val="Hyperlink"/>
              </w:rPr>
              <w:t>TATSHENSHINI | SHÄWSHE CHÙ</w:t>
            </w:r>
            <w:r w:rsidR="00F27B64">
              <w:rPr>
                <w:webHidden/>
              </w:rPr>
              <w:tab/>
            </w:r>
            <w:r w:rsidR="00F27B64">
              <w:rPr>
                <w:webHidden/>
              </w:rPr>
              <w:fldChar w:fldCharType="begin"/>
            </w:r>
            <w:r w:rsidR="00F27B64">
              <w:rPr>
                <w:webHidden/>
              </w:rPr>
              <w:instrText xml:space="preserve"> PAGEREF _Toc184297726 \h </w:instrText>
            </w:r>
            <w:r w:rsidR="00F27B64">
              <w:rPr>
                <w:webHidden/>
              </w:rPr>
            </w:r>
            <w:r w:rsidR="00F27B64">
              <w:rPr>
                <w:webHidden/>
              </w:rPr>
              <w:fldChar w:fldCharType="separate"/>
            </w:r>
            <w:r w:rsidR="00F27B64">
              <w:rPr>
                <w:webHidden/>
              </w:rPr>
              <w:t>15</w:t>
            </w:r>
            <w:r w:rsidR="00F27B64">
              <w:rPr>
                <w:webHidden/>
              </w:rPr>
              <w:fldChar w:fldCharType="end"/>
            </w:r>
          </w:hyperlink>
        </w:p>
        <w:p w14:paraId="79DC718A" w14:textId="0CC6C0EF"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7" w:history="1">
            <w:r w:rsidR="00F27B64" w:rsidRPr="00203C50">
              <w:rPr>
                <w:rStyle w:val="Hyperlink"/>
              </w:rPr>
              <w:t>THAMES</w:t>
            </w:r>
            <w:r w:rsidR="00F27B64">
              <w:rPr>
                <w:webHidden/>
              </w:rPr>
              <w:tab/>
            </w:r>
            <w:r w:rsidR="00F27B64">
              <w:rPr>
                <w:webHidden/>
              </w:rPr>
              <w:fldChar w:fldCharType="begin"/>
            </w:r>
            <w:r w:rsidR="00F27B64">
              <w:rPr>
                <w:webHidden/>
              </w:rPr>
              <w:instrText xml:space="preserve"> PAGEREF _Toc184297727 \h </w:instrText>
            </w:r>
            <w:r w:rsidR="00F27B64">
              <w:rPr>
                <w:webHidden/>
              </w:rPr>
            </w:r>
            <w:r w:rsidR="00F27B64">
              <w:rPr>
                <w:webHidden/>
              </w:rPr>
              <w:fldChar w:fldCharType="separate"/>
            </w:r>
            <w:r w:rsidR="00F27B64">
              <w:rPr>
                <w:webHidden/>
              </w:rPr>
              <w:t>16</w:t>
            </w:r>
            <w:r w:rsidR="00F27B64">
              <w:rPr>
                <w:webHidden/>
              </w:rPr>
              <w:fldChar w:fldCharType="end"/>
            </w:r>
          </w:hyperlink>
        </w:p>
        <w:p w14:paraId="18FCA277" w14:textId="18876815"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8" w:history="1">
            <w:r w:rsidR="00F27B64" w:rsidRPr="00203C50">
              <w:rPr>
                <w:rStyle w:val="Hyperlink"/>
              </w:rPr>
              <w:t>THREE RIVERS</w:t>
            </w:r>
            <w:r w:rsidR="00F27B64">
              <w:rPr>
                <w:webHidden/>
              </w:rPr>
              <w:tab/>
            </w:r>
            <w:r w:rsidR="00F27B64">
              <w:rPr>
                <w:webHidden/>
              </w:rPr>
              <w:fldChar w:fldCharType="begin"/>
            </w:r>
            <w:r w:rsidR="00F27B64">
              <w:rPr>
                <w:webHidden/>
              </w:rPr>
              <w:instrText xml:space="preserve"> PAGEREF _Toc184297728 \h </w:instrText>
            </w:r>
            <w:r w:rsidR="00F27B64">
              <w:rPr>
                <w:webHidden/>
              </w:rPr>
            </w:r>
            <w:r w:rsidR="00F27B64">
              <w:rPr>
                <w:webHidden/>
              </w:rPr>
              <w:fldChar w:fldCharType="separate"/>
            </w:r>
            <w:r w:rsidR="00F27B64">
              <w:rPr>
                <w:webHidden/>
              </w:rPr>
              <w:t>16</w:t>
            </w:r>
            <w:r w:rsidR="00F27B64">
              <w:rPr>
                <w:webHidden/>
              </w:rPr>
              <w:fldChar w:fldCharType="end"/>
            </w:r>
          </w:hyperlink>
        </w:p>
        <w:p w14:paraId="2EF165DB" w14:textId="18C98DCA" w:rsidR="00F27B64" w:rsidRDefault="00BD09FD">
          <w:pPr>
            <w:pStyle w:val="TOC2"/>
            <w:rPr>
              <w:rFonts w:asciiTheme="minorHAnsi" w:eastAsiaTheme="minorEastAsia" w:hAnsiTheme="minorHAnsi" w:cstheme="minorBidi"/>
              <w:color w:val="auto"/>
              <w:kern w:val="2"/>
              <w:sz w:val="22"/>
              <w:lang w:val="en-CA" w:eastAsia="en-CA"/>
              <w14:ligatures w14:val="standardContextual"/>
            </w:rPr>
          </w:pPr>
          <w:hyperlink w:anchor="_Toc184297729" w:history="1">
            <w:r w:rsidR="00F27B64" w:rsidRPr="00203C50">
              <w:rPr>
                <w:rStyle w:val="Hyperlink"/>
              </w:rPr>
              <w:t>TSAIH TL'AK NJIK | BONNET PLUME</w:t>
            </w:r>
            <w:r w:rsidR="00F27B64">
              <w:rPr>
                <w:webHidden/>
              </w:rPr>
              <w:tab/>
            </w:r>
            <w:r w:rsidR="00F27B64">
              <w:rPr>
                <w:webHidden/>
              </w:rPr>
              <w:fldChar w:fldCharType="begin"/>
            </w:r>
            <w:r w:rsidR="00F27B64">
              <w:rPr>
                <w:webHidden/>
              </w:rPr>
              <w:instrText xml:space="preserve"> PAGEREF _Toc184297729 \h </w:instrText>
            </w:r>
            <w:r w:rsidR="00F27B64">
              <w:rPr>
                <w:webHidden/>
              </w:rPr>
            </w:r>
            <w:r w:rsidR="00F27B64">
              <w:rPr>
                <w:webHidden/>
              </w:rPr>
              <w:fldChar w:fldCharType="separate"/>
            </w:r>
            <w:r w:rsidR="00F27B64">
              <w:rPr>
                <w:webHidden/>
              </w:rPr>
              <w:t>16</w:t>
            </w:r>
            <w:r w:rsidR="00F27B64">
              <w:rPr>
                <w:webHidden/>
              </w:rPr>
              <w:fldChar w:fldCharType="end"/>
            </w:r>
          </w:hyperlink>
        </w:p>
        <w:p w14:paraId="380D3495" w14:textId="7DDD45FE" w:rsidR="00B11B1F" w:rsidRDefault="005F3731" w:rsidP="009A6ACC">
          <w:pPr>
            <w:ind w:left="0" w:firstLine="0"/>
          </w:pPr>
          <w:r>
            <w:rPr>
              <w:b/>
            </w:rPr>
            <w:fldChar w:fldCharType="end"/>
          </w:r>
        </w:p>
      </w:sdtContent>
    </w:sdt>
    <w:p w14:paraId="1EEA0EEA" w14:textId="77777777" w:rsidR="009A6ACC" w:rsidRDefault="009A6ACC" w:rsidP="000D2FBD">
      <w:pPr>
        <w:pStyle w:val="Heading2"/>
        <w:jc w:val="center"/>
      </w:pPr>
    </w:p>
    <w:p w14:paraId="654431C0" w14:textId="10CD2BF2" w:rsidR="009A6ACC" w:rsidRDefault="009A6ACC" w:rsidP="000D2FBD">
      <w:pPr>
        <w:pStyle w:val="Heading2"/>
        <w:jc w:val="center"/>
      </w:pPr>
    </w:p>
    <w:p w14:paraId="2A1B903F" w14:textId="7E79969A" w:rsidR="009A6ACC" w:rsidRDefault="009A6ACC" w:rsidP="009A6ACC"/>
    <w:p w14:paraId="19938A5C" w14:textId="77777777" w:rsidR="009A6ACC" w:rsidRDefault="009A6ACC" w:rsidP="009A6ACC"/>
    <w:p w14:paraId="62F997EA" w14:textId="77777777" w:rsidR="006B2AAB" w:rsidRDefault="006B2AAB" w:rsidP="009A6ACC"/>
    <w:p w14:paraId="4DC5053F" w14:textId="77777777" w:rsidR="006B2AAB" w:rsidRDefault="006B2AAB" w:rsidP="009A6ACC"/>
    <w:p w14:paraId="54E82C52" w14:textId="77777777" w:rsidR="006B2AAB" w:rsidRDefault="006B2AAB" w:rsidP="009A6ACC"/>
    <w:p w14:paraId="321365B5" w14:textId="77777777" w:rsidR="006B2AAB" w:rsidRDefault="006B2AAB" w:rsidP="009A6ACC"/>
    <w:p w14:paraId="45E59242" w14:textId="77777777" w:rsidR="006B2AAB" w:rsidRDefault="006B2AAB" w:rsidP="009A6ACC"/>
    <w:p w14:paraId="6AD6E77F" w14:textId="77777777" w:rsidR="006B2AAB" w:rsidRDefault="006B2AAB" w:rsidP="009A6ACC"/>
    <w:p w14:paraId="6EA8A55F" w14:textId="77777777" w:rsidR="006B2AAB" w:rsidRDefault="006B2AAB" w:rsidP="009A6ACC"/>
    <w:p w14:paraId="6B2AC96A" w14:textId="77777777" w:rsidR="006B2AAB" w:rsidRDefault="006B2AAB" w:rsidP="009A6ACC"/>
    <w:p w14:paraId="2CFA00BA" w14:textId="77777777" w:rsidR="006B2AAB" w:rsidRDefault="006B2AAB" w:rsidP="009A6ACC"/>
    <w:p w14:paraId="29AED84B" w14:textId="77777777" w:rsidR="006B2AAB" w:rsidRDefault="006B2AAB" w:rsidP="009A6ACC"/>
    <w:p w14:paraId="468CCF83" w14:textId="77777777" w:rsidR="006B2AAB" w:rsidRDefault="006B2AAB" w:rsidP="009A6ACC"/>
    <w:p w14:paraId="7ABC790B" w14:textId="77777777" w:rsidR="006B2AAB" w:rsidRDefault="006B2AAB" w:rsidP="009A6ACC"/>
    <w:p w14:paraId="21B5231D" w14:textId="77777777" w:rsidR="006B2AAB" w:rsidRDefault="006B2AAB" w:rsidP="009A6ACC"/>
    <w:p w14:paraId="47A901D7" w14:textId="77777777" w:rsidR="006B2AAB" w:rsidRDefault="006B2AAB" w:rsidP="009A6ACC"/>
    <w:p w14:paraId="55F8C765" w14:textId="77777777" w:rsidR="006B2AAB" w:rsidRDefault="006B2AAB" w:rsidP="009A6ACC"/>
    <w:p w14:paraId="01346DAE" w14:textId="77777777" w:rsidR="006B2AAB" w:rsidRDefault="006B2AAB" w:rsidP="009A6ACC"/>
    <w:p w14:paraId="4831B2BA" w14:textId="77777777" w:rsidR="006B2AAB" w:rsidRDefault="006B2AAB" w:rsidP="009A6ACC"/>
    <w:p w14:paraId="4F193109" w14:textId="77777777" w:rsidR="006B2AAB" w:rsidRDefault="006B2AAB" w:rsidP="009A6ACC"/>
    <w:p w14:paraId="63DE1C06" w14:textId="77777777" w:rsidR="006B2AAB" w:rsidRDefault="006B2AAB" w:rsidP="009A6ACC"/>
    <w:p w14:paraId="6B76AB8F" w14:textId="77777777" w:rsidR="006B2AAB" w:rsidRDefault="006B2AAB" w:rsidP="009A6ACC"/>
    <w:p w14:paraId="2C55114D" w14:textId="77777777" w:rsidR="006B2AAB" w:rsidRDefault="006B2AAB" w:rsidP="009A6ACC"/>
    <w:p w14:paraId="59488B06" w14:textId="77777777" w:rsidR="006B2AAB" w:rsidRDefault="006B2AAB" w:rsidP="009A6ACC"/>
    <w:p w14:paraId="43828A81" w14:textId="77777777" w:rsidR="006B2AAB" w:rsidRDefault="006B2AAB" w:rsidP="009A6ACC"/>
    <w:p w14:paraId="5E625CB7" w14:textId="77777777" w:rsidR="006B2AAB" w:rsidRDefault="006B2AAB" w:rsidP="009A6ACC"/>
    <w:p w14:paraId="00E9F561" w14:textId="77777777" w:rsidR="006B2AAB" w:rsidRDefault="006B2AAB" w:rsidP="009A6ACC"/>
    <w:p w14:paraId="2588BE85" w14:textId="77777777" w:rsidR="006B2AAB" w:rsidRDefault="006B2AAB" w:rsidP="009A6ACC"/>
    <w:p w14:paraId="02D79E10" w14:textId="77777777" w:rsidR="006B2AAB" w:rsidRDefault="006B2AAB" w:rsidP="009A6ACC"/>
    <w:p w14:paraId="74F90D98" w14:textId="77777777" w:rsidR="006B2AAB" w:rsidRPr="009A6ACC" w:rsidRDefault="006B2AAB" w:rsidP="009A6ACC"/>
    <w:p w14:paraId="6DA70F1E" w14:textId="54C6AF69" w:rsidR="00275958" w:rsidRDefault="006104DA" w:rsidP="000D2FBD">
      <w:pPr>
        <w:pStyle w:val="Heading2"/>
        <w:jc w:val="center"/>
      </w:pPr>
      <w:bookmarkStart w:id="0" w:name="_Toc184297688"/>
      <w:r>
        <w:t>SOMMAIRE</w:t>
      </w:r>
      <w:bookmarkEnd w:id="0"/>
    </w:p>
    <w:p w14:paraId="3CFBEDAE" w14:textId="77777777" w:rsidR="00E762C5" w:rsidRDefault="00E762C5" w:rsidP="00E762C5"/>
    <w:p w14:paraId="291132C6" w14:textId="06C1C65F" w:rsidR="00FF0F9C" w:rsidRDefault="006104DA" w:rsidP="00E762C5">
      <w:r>
        <w:t>Le résumé d</w:t>
      </w:r>
      <w:r w:rsidR="00D91B11">
        <w:t>es</w:t>
      </w:r>
      <w:r>
        <w:t xml:space="preserve"> rapport</w:t>
      </w:r>
      <w:r w:rsidR="00D91B11">
        <w:t>s</w:t>
      </w:r>
      <w:r>
        <w:t xml:space="preserve"> de surveillance annuel</w:t>
      </w:r>
      <w:r w:rsidR="00D91B11">
        <w:t>s</w:t>
      </w:r>
      <w:r>
        <w:t xml:space="preserve"> de 2023 rassemble les renseignements et les mises à jour clés portant sur les rivières du patrimoine canadien. L’information qu’il contient est tirée des rapports de surveillance annuels individuels produits par les gestionnaires de rivières et les groupes d</w:t>
      </w:r>
      <w:r w:rsidR="00B3040F">
        <w:t>’</w:t>
      </w:r>
      <w:r>
        <w:t>intendance des rivières, et a été examinée par le représentant des administration</w:t>
      </w:r>
      <w:r w:rsidR="002E4211">
        <w:t>s</w:t>
      </w:r>
      <w:r>
        <w:t xml:space="preserve"> visées avant </w:t>
      </w:r>
      <w:r w:rsidR="00D96F4B">
        <w:t>s</w:t>
      </w:r>
      <w:r>
        <w:t xml:space="preserve">a soumission.  </w:t>
      </w:r>
      <w:r>
        <w:br/>
      </w:r>
      <w:r>
        <w:br/>
        <w:t xml:space="preserve">Quelques thèmes communs ont été relevés dans les différents rapports de surveillance annuels de 2023 : </w:t>
      </w:r>
    </w:p>
    <w:p w14:paraId="0A6B23F0" w14:textId="77777777" w:rsidR="00FF0F9C" w:rsidRDefault="00FF0F9C" w:rsidP="00E762C5"/>
    <w:p w14:paraId="0DE8E737" w14:textId="31A474A8" w:rsidR="00FF0F9C" w:rsidRDefault="00D96F4B" w:rsidP="00FF0F9C">
      <w:pPr>
        <w:pStyle w:val="ListParagraph"/>
        <w:numPr>
          <w:ilvl w:val="0"/>
          <w:numId w:val="5"/>
        </w:numPr>
      </w:pPr>
      <w:r>
        <w:t>c</w:t>
      </w:r>
      <w:r w:rsidR="00FF0F9C">
        <w:t xml:space="preserve">ollaborations nouvelles ou accrues avec des partenaires et des intervenants des Premières </w:t>
      </w:r>
      <w:r>
        <w:t>N</w:t>
      </w:r>
      <w:r w:rsidR="00FF0F9C">
        <w:t>ations, des Métis ou des Inuit</w:t>
      </w:r>
      <w:r>
        <w:t>;</w:t>
      </w:r>
    </w:p>
    <w:p w14:paraId="3AFAD304" w14:textId="002D35B5" w:rsidR="00FF0F9C" w:rsidRDefault="00D96F4B" w:rsidP="00FF0F9C">
      <w:pPr>
        <w:pStyle w:val="ListParagraph"/>
        <w:numPr>
          <w:ilvl w:val="0"/>
          <w:numId w:val="5"/>
        </w:numPr>
      </w:pPr>
      <w:r>
        <w:t>p</w:t>
      </w:r>
      <w:r w:rsidR="00FF0F9C">
        <w:t>oursuite des activités traditionnelles autochtones de piégeage, de chasse et de pêche</w:t>
      </w:r>
      <w:r w:rsidR="007C475E">
        <w:t xml:space="preserve">, et </w:t>
      </w:r>
      <w:r w:rsidR="00FF0F9C">
        <w:t>rétablissement des liens avec le territoire</w:t>
      </w:r>
      <w:r>
        <w:t>;</w:t>
      </w:r>
    </w:p>
    <w:p w14:paraId="437E1679" w14:textId="56AB4A4F" w:rsidR="00FF0F9C" w:rsidRDefault="007C475E" w:rsidP="00FF0F9C">
      <w:pPr>
        <w:pStyle w:val="ListParagraph"/>
        <w:numPr>
          <w:ilvl w:val="0"/>
          <w:numId w:val="5"/>
        </w:numPr>
      </w:pPr>
      <w:r>
        <w:t>a</w:t>
      </w:r>
      <w:r w:rsidR="00FF0F9C">
        <w:t>ttention nouvelle ou accrue portée à la prévention et à la gestion des espèces aquatiques envahissantes</w:t>
      </w:r>
      <w:r>
        <w:t>;</w:t>
      </w:r>
    </w:p>
    <w:p w14:paraId="5AA1BD39" w14:textId="0A6EE898" w:rsidR="00FF0F9C" w:rsidRDefault="007C475E" w:rsidP="005E54B9">
      <w:pPr>
        <w:pStyle w:val="ListParagraph"/>
        <w:numPr>
          <w:ilvl w:val="0"/>
          <w:numId w:val="5"/>
        </w:numPr>
      </w:pPr>
      <w:r>
        <w:t>m</w:t>
      </w:r>
      <w:r w:rsidR="00FF0F9C">
        <w:t>odifications des niveaux d</w:t>
      </w:r>
      <w:r w:rsidR="00B3040F">
        <w:t>’</w:t>
      </w:r>
      <w:r w:rsidR="00FF0F9C">
        <w:t>eau causées par les changements climatiques (inondations, sécheresses, fortes précipitations)</w:t>
      </w:r>
      <w:r>
        <w:t>.</w:t>
      </w:r>
    </w:p>
    <w:p w14:paraId="019BC93C" w14:textId="4BEA2A21" w:rsidR="006104DA" w:rsidRDefault="00162F13" w:rsidP="00FF0F9C">
      <w:r>
        <w:t>Parmi les menaces contenues dans plus d’un rapport annuel figuraient la variation des niveaux d</w:t>
      </w:r>
      <w:r w:rsidR="00B3040F">
        <w:t>’</w:t>
      </w:r>
      <w:r>
        <w:t>eau, les espèces aquatiques envahissantes et la surfréquentation. Ces menaces n’entraînent pas, pour l</w:t>
      </w:r>
      <w:r w:rsidR="00B3040F">
        <w:t>’</w:t>
      </w:r>
      <w:r>
        <w:t>instant, la nécessité de modifier les mises en candidature ou les désignations de rivières du patrimoine canadien, mais il faudra continuer de surveiller leurs effets et de les atténuer, dans la mesure du possible, dans les années à venir.</w:t>
      </w:r>
    </w:p>
    <w:p w14:paraId="5083A377" w14:textId="77777777" w:rsidR="006104DA" w:rsidRDefault="006104DA" w:rsidP="00E762C5"/>
    <w:p w14:paraId="6522ED90" w14:textId="77777777" w:rsidR="006104DA" w:rsidRDefault="006104DA" w:rsidP="00E762C5"/>
    <w:p w14:paraId="080090BF" w14:textId="77777777" w:rsidR="006104DA" w:rsidRDefault="006104DA" w:rsidP="00E762C5"/>
    <w:p w14:paraId="18BDA44A" w14:textId="77777777" w:rsidR="006104DA" w:rsidRDefault="006104DA" w:rsidP="00E762C5"/>
    <w:p w14:paraId="3E546780" w14:textId="77777777" w:rsidR="006104DA" w:rsidRDefault="006104DA" w:rsidP="00E762C5"/>
    <w:p w14:paraId="47137151" w14:textId="77777777" w:rsidR="006104DA" w:rsidRDefault="006104DA" w:rsidP="00E762C5"/>
    <w:p w14:paraId="4FEF05C5" w14:textId="77777777" w:rsidR="006104DA" w:rsidRDefault="006104DA" w:rsidP="00E762C5"/>
    <w:p w14:paraId="1FBD2C23" w14:textId="77777777" w:rsidR="006104DA" w:rsidRDefault="006104DA" w:rsidP="00E762C5"/>
    <w:p w14:paraId="3752FED3" w14:textId="77777777" w:rsidR="006104DA" w:rsidRDefault="006104DA" w:rsidP="00E762C5"/>
    <w:p w14:paraId="0606C2C4" w14:textId="77777777" w:rsidR="006104DA" w:rsidRDefault="006104DA" w:rsidP="00E762C5"/>
    <w:p w14:paraId="14EB8315" w14:textId="764AB007" w:rsidR="006104DA" w:rsidRDefault="006104DA" w:rsidP="007C475E">
      <w:pPr>
        <w:ind w:left="0" w:firstLine="0"/>
      </w:pPr>
    </w:p>
    <w:p w14:paraId="360CBA3B" w14:textId="77777777" w:rsidR="006B2AAB" w:rsidRDefault="006B2AAB" w:rsidP="00E762C5"/>
    <w:p w14:paraId="025BBB32" w14:textId="77777777" w:rsidR="006B2AAB" w:rsidRDefault="006B2AAB" w:rsidP="00E762C5"/>
    <w:p w14:paraId="7C7F34A0" w14:textId="77777777" w:rsidR="006B2AAB" w:rsidRDefault="006B2AAB" w:rsidP="00E762C5"/>
    <w:p w14:paraId="2A107846" w14:textId="77777777" w:rsidR="00435465" w:rsidRDefault="00435465" w:rsidP="00E762C5"/>
    <w:p w14:paraId="54E2DF62" w14:textId="443CC9B3" w:rsidR="000D2FBD" w:rsidRDefault="00435465" w:rsidP="00435465">
      <w:pPr>
        <w:rPr>
          <w:i/>
          <w:sz w:val="20"/>
        </w:rPr>
      </w:pPr>
      <w:r>
        <w:rPr>
          <w:i/>
          <w:sz w:val="20"/>
        </w:rPr>
        <w:t>*Certains rapports annuels sur des rivières du patrimoine n</w:t>
      </w:r>
      <w:r w:rsidR="00FD362E">
        <w:rPr>
          <w:i/>
          <w:sz w:val="20"/>
        </w:rPr>
        <w:t>’</w:t>
      </w:r>
      <w:r>
        <w:rPr>
          <w:i/>
          <w:sz w:val="20"/>
        </w:rPr>
        <w:t>ont pas été soumis en 2023. Le présent rapport contient des renseignements provenant des rapports qui ont été rédigés et soumis.</w:t>
      </w:r>
    </w:p>
    <w:tbl>
      <w:tblPr>
        <w:tblStyle w:val="TableGrid"/>
        <w:tblW w:w="9180" w:type="dxa"/>
        <w:tblInd w:w="25" w:type="dxa"/>
        <w:tblCellMar>
          <w:top w:w="81" w:type="dxa"/>
          <w:left w:w="335" w:type="dxa"/>
          <w:right w:w="115" w:type="dxa"/>
        </w:tblCellMar>
        <w:tblLook w:val="04A0" w:firstRow="1" w:lastRow="0" w:firstColumn="1" w:lastColumn="0" w:noHBand="0" w:noVBand="1"/>
      </w:tblPr>
      <w:tblGrid>
        <w:gridCol w:w="9180"/>
      </w:tblGrid>
      <w:tr w:rsidR="00194A1F" w14:paraId="7B3A95ED" w14:textId="77777777" w:rsidTr="00DA2D41">
        <w:trPr>
          <w:trHeight w:val="441"/>
        </w:trPr>
        <w:tc>
          <w:tcPr>
            <w:tcW w:w="9180" w:type="dxa"/>
            <w:shd w:val="clear" w:color="auto" w:fill="DEEAF6" w:themeFill="accent1" w:themeFillTint="33"/>
          </w:tcPr>
          <w:p w14:paraId="32C64465" w14:textId="66E4B1E7" w:rsidR="00194A1F" w:rsidRDefault="00194A1F" w:rsidP="0040558F">
            <w:pPr>
              <w:pStyle w:val="Heading2"/>
              <w:ind w:left="0" w:firstLine="0"/>
              <w:jc w:val="center"/>
              <w:rPr>
                <w:rFonts w:eastAsia="Calibri"/>
              </w:rPr>
            </w:pPr>
            <w:bookmarkStart w:id="1" w:name="_Toc184297689"/>
            <w:r>
              <w:t>ALSEK</w:t>
            </w:r>
            <w:bookmarkEnd w:id="1"/>
          </w:p>
        </w:tc>
      </w:tr>
      <w:tr w:rsidR="00194A1F" w14:paraId="5D10B88B" w14:textId="77777777" w:rsidTr="0034642C">
        <w:trPr>
          <w:trHeight w:val="441"/>
        </w:trPr>
        <w:tc>
          <w:tcPr>
            <w:tcW w:w="9180" w:type="dxa"/>
            <w:shd w:val="clear" w:color="auto" w:fill="FFFFFF" w:themeFill="background1"/>
          </w:tcPr>
          <w:p w14:paraId="2AFAB1B0" w14:textId="77777777" w:rsidR="00DE77FE" w:rsidRDefault="00DE77FE" w:rsidP="00194A1F">
            <w:pPr>
              <w:ind w:left="0" w:firstLine="0"/>
              <w:rPr>
                <w:bCs/>
              </w:rPr>
            </w:pPr>
          </w:p>
          <w:p w14:paraId="4135807D" w14:textId="467DCBFC" w:rsidR="00194A1F" w:rsidRDefault="00194A1F" w:rsidP="0034642C">
            <w:pPr>
              <w:ind w:left="0" w:firstLine="0"/>
              <w:rPr>
                <w:bCs/>
              </w:rPr>
            </w:pPr>
            <w:r>
              <w:t>Les partenariats avec les Premières Nations de Champagne et d’Aishihik ont repris après la pandémie de COVID. On discute actuellement des réunions de gestion des rivières et des excursions sur les rivières qui pourraient avoir lieu durant la saison opérationnelle de 2024. Le financement nécessaire a été obtenu, et les Premières Nations partenaires souhaitent vivement qu</w:t>
            </w:r>
            <w:r w:rsidR="00FD362E">
              <w:t>’</w:t>
            </w:r>
            <w:r>
              <w:t>une excursion soit organisée sur la rivière pour permettre aux gardiens des terres, aux citoyens et au personnel des Premières Nations de Champagne et d’Aishihik</w:t>
            </w:r>
            <w:r w:rsidR="00C752DB">
              <w:t xml:space="preserve"> </w:t>
            </w:r>
            <w:r>
              <w:t>de renouer avec ce secteur de leur territoire traditionnel.</w:t>
            </w:r>
          </w:p>
          <w:p w14:paraId="1196B0FE" w14:textId="77777777" w:rsidR="00194A1F" w:rsidRDefault="00194A1F" w:rsidP="0040558F">
            <w:pPr>
              <w:pStyle w:val="Heading2"/>
              <w:ind w:left="0" w:firstLine="0"/>
              <w:jc w:val="center"/>
              <w:rPr>
                <w:rFonts w:eastAsia="Calibri"/>
              </w:rPr>
            </w:pPr>
          </w:p>
        </w:tc>
      </w:tr>
      <w:tr w:rsidR="008C7EDC" w14:paraId="360E63A0" w14:textId="77777777" w:rsidTr="00DA2D41">
        <w:trPr>
          <w:trHeight w:val="441"/>
        </w:trPr>
        <w:tc>
          <w:tcPr>
            <w:tcW w:w="9180" w:type="dxa"/>
            <w:shd w:val="clear" w:color="auto" w:fill="DEEAF6" w:themeFill="accent1" w:themeFillTint="33"/>
          </w:tcPr>
          <w:p w14:paraId="4C60BBB8" w14:textId="77777777" w:rsidR="008C7EDC" w:rsidRDefault="008C7EDC" w:rsidP="0040558F">
            <w:pPr>
              <w:pStyle w:val="Heading2"/>
              <w:ind w:left="0" w:firstLine="0"/>
              <w:jc w:val="center"/>
            </w:pPr>
            <w:bookmarkStart w:id="2" w:name="_Toc184297690"/>
            <w:r>
              <w:t>ATHABASCA</w:t>
            </w:r>
            <w:bookmarkEnd w:id="2"/>
          </w:p>
        </w:tc>
      </w:tr>
      <w:tr w:rsidR="008C7EDC" w14:paraId="5C8394AF" w14:textId="77777777" w:rsidTr="00D747AF">
        <w:trPr>
          <w:trHeight w:val="1597"/>
        </w:trPr>
        <w:tc>
          <w:tcPr>
            <w:tcW w:w="9180" w:type="dxa"/>
          </w:tcPr>
          <w:p w14:paraId="308BD984" w14:textId="77777777" w:rsidR="00DE77FE" w:rsidRDefault="00DE77FE" w:rsidP="00194A1F">
            <w:pPr>
              <w:spacing w:after="0"/>
              <w:ind w:left="0" w:firstLine="0"/>
              <w:rPr>
                <w:iCs/>
              </w:rPr>
            </w:pPr>
          </w:p>
          <w:p w14:paraId="26363B30" w14:textId="0A7A169F" w:rsidR="00997463" w:rsidRDefault="00194A1F" w:rsidP="00E46308">
            <w:pPr>
              <w:spacing w:after="0"/>
              <w:ind w:left="0" w:firstLine="0"/>
            </w:pPr>
            <w:r>
              <w:t>Les équipes chargées de l</w:t>
            </w:r>
            <w:r w:rsidR="00FD362E">
              <w:t>’</w:t>
            </w:r>
            <w:r>
              <w:t>expérience du visiteur et de la conservation des ressources du parc national Jasper ont lancé, en 2023, un programme de prévention des espèces aquatiques envahissantes dans des secteurs clés du bassin versant de l</w:t>
            </w:r>
            <w:r w:rsidR="00FD362E">
              <w:t>’</w:t>
            </w:r>
            <w:r>
              <w:t xml:space="preserve">Athabasca, dans le parc. Les mesures suivantes ont été prises : 1) aménagement de postes d’inspection et de décontamination, où des employés de Parcs Canada inspectent, </w:t>
            </w:r>
            <w:r w:rsidR="000C3E56">
              <w:t>nettoient</w:t>
            </w:r>
            <w:r>
              <w:t xml:space="preserve"> et décontaminent les embarcations électriques et non motorisées; 2) offre de différents permis pour divers types d’embarcations, notamment un permis d’autocertification et un permis saisonnier; 3) vérification et sensibi</w:t>
            </w:r>
            <w:r w:rsidR="000C3E56">
              <w:t>li</w:t>
            </w:r>
            <w:r>
              <w:t>sation par des membres du personnel de Parcs Canada qui, à différents plans d’eau et points d’accès très fréquentés, parlent aux visiteurs des mesures de prévention et des répercussions possibles des espèces aquatiques envahissantes. Au total, le personnel s’est entretenu avec plus de 3</w:t>
            </w:r>
            <w:r w:rsidR="00E42123">
              <w:t> </w:t>
            </w:r>
            <w:r>
              <w:t xml:space="preserve">000 visiteurs et résidents, que ce soit au poste de nettoyage ou lors d’activités d’interprétation et de diffusion externe dans le parc. </w:t>
            </w:r>
          </w:p>
          <w:p w14:paraId="6110CC89" w14:textId="7947521F" w:rsidR="00FB7B01" w:rsidRPr="00997463" w:rsidRDefault="00FB7B01" w:rsidP="00E46308">
            <w:pPr>
              <w:spacing w:after="0"/>
              <w:ind w:left="0" w:firstLine="0"/>
            </w:pPr>
          </w:p>
        </w:tc>
      </w:tr>
      <w:tr w:rsidR="00B57B2D" w14:paraId="7917679C" w14:textId="77777777" w:rsidTr="00DE77FE">
        <w:trPr>
          <w:trHeight w:val="535"/>
        </w:trPr>
        <w:tc>
          <w:tcPr>
            <w:tcW w:w="9180" w:type="dxa"/>
            <w:shd w:val="clear" w:color="auto" w:fill="DEEAF6" w:themeFill="accent1" w:themeFillTint="33"/>
          </w:tcPr>
          <w:p w14:paraId="5E36D85E" w14:textId="16084934" w:rsidR="00B57B2D" w:rsidRDefault="00B57B2D" w:rsidP="00E46308">
            <w:pPr>
              <w:pStyle w:val="Heading2"/>
              <w:ind w:left="0" w:firstLine="0"/>
              <w:jc w:val="center"/>
              <w:rPr>
                <w:rFonts w:eastAsia="Calibri"/>
              </w:rPr>
            </w:pPr>
            <w:bookmarkStart w:id="3" w:name="_Toc184297691"/>
            <w:r>
              <w:t>BAY DU NORD</w:t>
            </w:r>
            <w:bookmarkEnd w:id="3"/>
          </w:p>
        </w:tc>
      </w:tr>
      <w:tr w:rsidR="00B57B2D" w14:paraId="105DEA25" w14:textId="77777777" w:rsidTr="0034642C">
        <w:trPr>
          <w:trHeight w:val="535"/>
        </w:trPr>
        <w:tc>
          <w:tcPr>
            <w:tcW w:w="9180" w:type="dxa"/>
            <w:shd w:val="clear" w:color="auto" w:fill="auto"/>
          </w:tcPr>
          <w:p w14:paraId="6CD42DAA" w14:textId="77777777" w:rsidR="00B57B2D" w:rsidRDefault="00B57B2D">
            <w:pPr>
              <w:pStyle w:val="Heading2"/>
              <w:jc w:val="center"/>
              <w:rPr>
                <w:rFonts w:eastAsia="Calibri"/>
              </w:rPr>
            </w:pPr>
          </w:p>
          <w:p w14:paraId="106DCF39" w14:textId="56087E9A" w:rsidR="00B57B2D" w:rsidRPr="00997463" w:rsidRDefault="00461C8B" w:rsidP="00997463">
            <w:pPr>
              <w:ind w:left="0"/>
              <w:rPr>
                <w:bCs/>
              </w:rPr>
            </w:pPr>
            <w:r>
              <w:t>La rivière du patrimoine canadien Bay du Nord demeure dans un état qui reflète les valeurs naturelles pour lesquelles elle a été désignée.</w:t>
            </w:r>
          </w:p>
          <w:p w14:paraId="11EEC73B" w14:textId="77777777" w:rsidR="00B57B2D" w:rsidRPr="00B57B2D" w:rsidRDefault="00B57B2D" w:rsidP="0034642C"/>
        </w:tc>
      </w:tr>
      <w:tr w:rsidR="00B57B2D" w14:paraId="62755B30" w14:textId="77777777" w:rsidTr="00DE77FE">
        <w:trPr>
          <w:trHeight w:val="535"/>
        </w:trPr>
        <w:tc>
          <w:tcPr>
            <w:tcW w:w="9180" w:type="dxa"/>
            <w:shd w:val="clear" w:color="auto" w:fill="DEEAF6" w:themeFill="accent1" w:themeFillTint="33"/>
          </w:tcPr>
          <w:p w14:paraId="741B9D7B" w14:textId="57D46920" w:rsidR="00B57B2D" w:rsidRDefault="00B57B2D">
            <w:pPr>
              <w:pStyle w:val="Heading2"/>
              <w:jc w:val="center"/>
              <w:rPr>
                <w:rFonts w:eastAsia="Calibri"/>
              </w:rPr>
            </w:pPr>
            <w:bookmarkStart w:id="4" w:name="_Toc184297692"/>
            <w:r>
              <w:t>BLOODVEIN (ONTARIO)</w:t>
            </w:r>
            <w:bookmarkEnd w:id="4"/>
          </w:p>
        </w:tc>
      </w:tr>
      <w:tr w:rsidR="00B57B2D" w14:paraId="4396D8FB" w14:textId="77777777" w:rsidTr="0034642C">
        <w:trPr>
          <w:trHeight w:val="535"/>
        </w:trPr>
        <w:tc>
          <w:tcPr>
            <w:tcW w:w="9180" w:type="dxa"/>
            <w:shd w:val="clear" w:color="auto" w:fill="auto"/>
          </w:tcPr>
          <w:p w14:paraId="5D11A0C8" w14:textId="77777777" w:rsidR="00B57B2D" w:rsidRDefault="00B57B2D" w:rsidP="00B57B2D">
            <w:pPr>
              <w:pStyle w:val="Heading2"/>
              <w:rPr>
                <w:rFonts w:asciiTheme="minorHAnsi" w:hAnsiTheme="minorHAnsi" w:cstheme="minorHAnsi"/>
                <w:color w:val="000000" w:themeColor="text1"/>
                <w:sz w:val="24"/>
                <w:szCs w:val="24"/>
              </w:rPr>
            </w:pPr>
          </w:p>
          <w:p w14:paraId="1BE30525" w14:textId="51E10D22" w:rsidR="00B57B2D" w:rsidRPr="006B2AAB" w:rsidRDefault="00B57B2D" w:rsidP="0034642C">
            <w:pPr>
              <w:ind w:left="0" w:firstLine="0"/>
            </w:pPr>
            <w:r>
              <w:t>Une autre saison des feux peu active, en 2023, a permis à la Bloodvein de se régénérer après les feux de végétation historiques de 2021. Les équipes ont profité de cette occasion pour dégager la majorité des sentiers de portage du parc provincial Woodland Caribou, améliorant ainsi l</w:t>
            </w:r>
            <w:r w:rsidR="00FD362E">
              <w:t>’</w:t>
            </w:r>
            <w:r>
              <w:t xml:space="preserve">accès à la région pour les canoteurs et les </w:t>
            </w:r>
            <w:r w:rsidR="0048132F">
              <w:t>A</w:t>
            </w:r>
            <w:r>
              <w:t>utochtones fréquentant l</w:t>
            </w:r>
            <w:r w:rsidR="00FD362E">
              <w:t>’</w:t>
            </w:r>
            <w:r>
              <w:t>arrière-pays. Cette saison, l</w:t>
            </w:r>
            <w:r w:rsidR="00FD362E">
              <w:t>’</w:t>
            </w:r>
            <w:r>
              <w:t>accent a été mis sur la mise à jour des documents d</w:t>
            </w:r>
            <w:r w:rsidR="00FD362E">
              <w:t>’</w:t>
            </w:r>
            <w:r>
              <w:t>orientation du parc provincial. Un processus a été lancé pour examiner et modifier le plan de gestion du parc. Les travaux se sont poursuivis en vue de l’intégration</w:t>
            </w:r>
            <w:r w:rsidR="001E428F">
              <w:t>, recommandée,</w:t>
            </w:r>
            <w:r>
              <w:t xml:space="preserve"> du lac Paishk au parc. Après qu</w:t>
            </w:r>
            <w:r w:rsidR="00FD362E">
              <w:t>’</w:t>
            </w:r>
            <w:r>
              <w:t>une étude aérienne sur les caribous a révélé la présence d’une population en difficulté, la décision de limiter la superficie des feux dans le parc a été prise provisoirement.</w:t>
            </w:r>
          </w:p>
          <w:p w14:paraId="4B3822AB" w14:textId="669CCC2F" w:rsidR="00B57B2D" w:rsidRPr="00B57B2D" w:rsidRDefault="00B57B2D" w:rsidP="0034642C"/>
        </w:tc>
      </w:tr>
      <w:tr w:rsidR="007E207B" w14:paraId="6D90358D" w14:textId="77777777" w:rsidTr="007E207B">
        <w:trPr>
          <w:trHeight w:val="558"/>
        </w:trPr>
        <w:tc>
          <w:tcPr>
            <w:tcW w:w="9180" w:type="dxa"/>
            <w:shd w:val="clear" w:color="auto" w:fill="DEEAF6" w:themeFill="accent1" w:themeFillTint="33"/>
          </w:tcPr>
          <w:p w14:paraId="4212FD67" w14:textId="392FEB4D" w:rsidR="007E207B" w:rsidRDefault="007E207B" w:rsidP="007E207B">
            <w:pPr>
              <w:pStyle w:val="Heading2"/>
              <w:ind w:left="0" w:firstLine="0"/>
              <w:jc w:val="center"/>
            </w:pPr>
            <w:bookmarkStart w:id="5" w:name="_Toc184297693"/>
            <w:r>
              <w:t>ROUTE FRONTALIÈRE DES VOYAGEURS</w:t>
            </w:r>
            <w:bookmarkEnd w:id="5"/>
          </w:p>
        </w:tc>
      </w:tr>
      <w:tr w:rsidR="007E207B" w14:paraId="36CB4F8E" w14:textId="77777777" w:rsidTr="00D747AF">
        <w:trPr>
          <w:trHeight w:val="815"/>
        </w:trPr>
        <w:tc>
          <w:tcPr>
            <w:tcW w:w="9180" w:type="dxa"/>
          </w:tcPr>
          <w:p w14:paraId="09697BFA" w14:textId="77777777" w:rsidR="00DE77FE" w:rsidRDefault="00DE77FE" w:rsidP="00DE77FE">
            <w:pPr>
              <w:ind w:left="0" w:firstLine="0"/>
              <w:rPr>
                <w:rFonts w:eastAsia="Verdana"/>
                <w:iCs/>
                <w:color w:val="000000" w:themeColor="text1"/>
                <w:spacing w:val="1"/>
                <w:position w:val="-1"/>
                <w:szCs w:val="24"/>
              </w:rPr>
            </w:pPr>
          </w:p>
          <w:p w14:paraId="547B1A35" w14:textId="54DA09B6" w:rsidR="00DE77FE" w:rsidRPr="0034642C" w:rsidRDefault="00DE77FE" w:rsidP="0034642C">
            <w:pPr>
              <w:ind w:left="0" w:firstLine="0"/>
              <w:rPr>
                <w:rFonts w:eastAsia="Verdana"/>
                <w:iCs/>
                <w:color w:val="000000" w:themeColor="text1"/>
                <w:spacing w:val="1"/>
                <w:position w:val="-1"/>
                <w:sz w:val="22"/>
                <w:szCs w:val="24"/>
              </w:rPr>
            </w:pPr>
            <w:r>
              <w:rPr>
                <w:color w:val="000000" w:themeColor="text1"/>
              </w:rPr>
              <w:t>En 2023, les niveaux de fréquentation de la voie navigable à des fins récréatives sont revenus à la normale. Le programme de passage à la frontière en région éloignée de l’Agence des services frontaliers du Canada a été rétabli après la pandémie de COVID, à la fin de l</w:t>
            </w:r>
            <w:r w:rsidR="00FD362E">
              <w:rPr>
                <w:color w:val="000000" w:themeColor="text1"/>
              </w:rPr>
              <w:t>’</w:t>
            </w:r>
            <w:r>
              <w:rPr>
                <w:color w:val="000000" w:themeColor="text1"/>
              </w:rPr>
              <w:t>été</w:t>
            </w:r>
            <w:r w:rsidR="003D5850">
              <w:rPr>
                <w:color w:val="000000" w:themeColor="text1"/>
              </w:rPr>
              <w:t> </w:t>
            </w:r>
            <w:r>
              <w:rPr>
                <w:color w:val="000000" w:themeColor="text1"/>
              </w:rPr>
              <w:t xml:space="preserve">2022. À l’été 2023, les canoteurs américains (qui sont les principaux utilisateurs de la voie navigable) </w:t>
            </w:r>
            <w:r w:rsidR="00167617">
              <w:rPr>
                <w:color w:val="000000" w:themeColor="text1"/>
              </w:rPr>
              <w:t>ont pu</w:t>
            </w:r>
            <w:r>
              <w:rPr>
                <w:color w:val="000000" w:themeColor="text1"/>
              </w:rPr>
              <w:t xml:space="preserve"> à nouveau traverser la frontière de cette façon</w:t>
            </w:r>
            <w:r w:rsidR="00167617">
              <w:rPr>
                <w:color w:val="000000" w:themeColor="text1"/>
              </w:rPr>
              <w:t>,</w:t>
            </w:r>
            <w:r>
              <w:rPr>
                <w:color w:val="000000" w:themeColor="text1"/>
              </w:rPr>
              <w:t xml:space="preserve"> comme ils le faisaient avant la pandémie. Les conditions météorologiques ayant été plus sèches qu’en moyenne tout au long de l</w:t>
            </w:r>
            <w:r w:rsidR="00FD362E">
              <w:rPr>
                <w:color w:val="000000" w:themeColor="text1"/>
              </w:rPr>
              <w:t>’</w:t>
            </w:r>
            <w:r>
              <w:rPr>
                <w:color w:val="000000" w:themeColor="text1"/>
              </w:rPr>
              <w:t>année, la région de la voie navigable a fait l’objet d’une interdiction de faire du feu pour une grande partie de l</w:t>
            </w:r>
            <w:r w:rsidR="00FD362E">
              <w:rPr>
                <w:color w:val="000000" w:themeColor="text1"/>
              </w:rPr>
              <w:t>’</w:t>
            </w:r>
            <w:r>
              <w:rPr>
                <w:color w:val="000000" w:themeColor="text1"/>
              </w:rPr>
              <w:t>été.</w:t>
            </w:r>
          </w:p>
          <w:p w14:paraId="0E7EF009" w14:textId="7BC6850D" w:rsidR="007E207B" w:rsidRPr="0034642C" w:rsidRDefault="007E207B" w:rsidP="004A11D5">
            <w:pPr>
              <w:spacing w:after="0" w:line="259" w:lineRule="auto"/>
              <w:ind w:left="0" w:firstLine="0"/>
              <w:rPr>
                <w:iCs/>
                <w:color w:val="000000" w:themeColor="text1"/>
              </w:rPr>
            </w:pPr>
          </w:p>
        </w:tc>
      </w:tr>
      <w:tr w:rsidR="006E44ED" w14:paraId="5C39207C" w14:textId="77777777" w:rsidTr="007E207B">
        <w:trPr>
          <w:trHeight w:val="500"/>
        </w:trPr>
        <w:tc>
          <w:tcPr>
            <w:tcW w:w="9180" w:type="dxa"/>
            <w:shd w:val="clear" w:color="auto" w:fill="DEEAF6" w:themeFill="accent1" w:themeFillTint="33"/>
          </w:tcPr>
          <w:p w14:paraId="41E729BD" w14:textId="0A5ED4F6" w:rsidR="006E44ED" w:rsidRDefault="006E44ED" w:rsidP="007E207B">
            <w:pPr>
              <w:pStyle w:val="Heading2"/>
              <w:ind w:left="0" w:firstLine="0"/>
              <w:jc w:val="center"/>
              <w:rPr>
                <w:rFonts w:eastAsia="Calibri"/>
              </w:rPr>
            </w:pPr>
            <w:bookmarkStart w:id="6" w:name="_Toc184297694"/>
            <w:r>
              <w:t>CLEARWATER (ALBERTA)</w:t>
            </w:r>
            <w:bookmarkEnd w:id="6"/>
          </w:p>
        </w:tc>
      </w:tr>
      <w:tr w:rsidR="006E44ED" w14:paraId="16118482" w14:textId="77777777" w:rsidTr="0034642C">
        <w:trPr>
          <w:trHeight w:val="500"/>
        </w:trPr>
        <w:tc>
          <w:tcPr>
            <w:tcW w:w="9180" w:type="dxa"/>
            <w:shd w:val="clear" w:color="auto" w:fill="auto"/>
          </w:tcPr>
          <w:p w14:paraId="4B5C2267" w14:textId="77777777" w:rsidR="0035455B" w:rsidRDefault="0035455B" w:rsidP="0034642C">
            <w:pPr>
              <w:ind w:left="0" w:firstLine="0"/>
            </w:pPr>
          </w:p>
          <w:p w14:paraId="48105279" w14:textId="42515F6E" w:rsidR="006E44ED" w:rsidRDefault="0034642C" w:rsidP="0034642C">
            <w:pPr>
              <w:ind w:left="0" w:firstLine="0"/>
            </w:pPr>
            <w:r>
              <w:t>Aucun rapport n</w:t>
            </w:r>
            <w:r w:rsidR="00FD362E">
              <w:t>’</w:t>
            </w:r>
            <w:r>
              <w:t xml:space="preserve">a été présenté.  </w:t>
            </w:r>
          </w:p>
          <w:p w14:paraId="695274A0" w14:textId="77777777" w:rsidR="006E44ED" w:rsidRDefault="006E44ED" w:rsidP="006E44ED"/>
          <w:p w14:paraId="16A0134F" w14:textId="77777777" w:rsidR="006E44ED" w:rsidRPr="006E44ED" w:rsidRDefault="006E44ED" w:rsidP="00FF0F9C"/>
        </w:tc>
      </w:tr>
      <w:tr w:rsidR="007E207B" w14:paraId="600EF245" w14:textId="77777777" w:rsidTr="007E207B">
        <w:trPr>
          <w:trHeight w:val="500"/>
        </w:trPr>
        <w:tc>
          <w:tcPr>
            <w:tcW w:w="9180" w:type="dxa"/>
            <w:shd w:val="clear" w:color="auto" w:fill="DEEAF6" w:themeFill="accent1" w:themeFillTint="33"/>
          </w:tcPr>
          <w:p w14:paraId="142EBCD5" w14:textId="4C568582" w:rsidR="007E207B" w:rsidRPr="0076589D" w:rsidRDefault="007E207B" w:rsidP="007E207B">
            <w:pPr>
              <w:pStyle w:val="Heading2"/>
              <w:ind w:left="0" w:firstLine="0"/>
              <w:jc w:val="center"/>
            </w:pPr>
            <w:bookmarkStart w:id="7" w:name="_Toc184297695"/>
            <w:r>
              <w:t>CLEARWATER (SASKATCHEWAN)</w:t>
            </w:r>
            <w:bookmarkEnd w:id="7"/>
          </w:p>
        </w:tc>
      </w:tr>
      <w:tr w:rsidR="007E207B" w14:paraId="5A63F5A3" w14:textId="77777777" w:rsidTr="00D747AF">
        <w:trPr>
          <w:trHeight w:val="815"/>
        </w:trPr>
        <w:tc>
          <w:tcPr>
            <w:tcW w:w="9180" w:type="dxa"/>
          </w:tcPr>
          <w:p w14:paraId="09F64A66" w14:textId="77777777" w:rsidR="00CE4DB4" w:rsidRDefault="00CE4DB4" w:rsidP="0076589D">
            <w:pPr>
              <w:spacing w:after="0" w:line="259" w:lineRule="auto"/>
              <w:ind w:left="0" w:firstLine="0"/>
            </w:pPr>
          </w:p>
          <w:p w14:paraId="23D5C143" w14:textId="5210EFE9" w:rsidR="00DA2D41" w:rsidRPr="0076589D" w:rsidRDefault="00CE4DB4" w:rsidP="004A11D5">
            <w:pPr>
              <w:spacing w:after="0" w:line="259" w:lineRule="auto"/>
              <w:ind w:left="0" w:firstLine="0"/>
            </w:pPr>
            <w:r>
              <w:t>Aucune activité, manque de personnel et faible budget.</w:t>
            </w:r>
          </w:p>
        </w:tc>
      </w:tr>
      <w:tr w:rsidR="00DA2D41" w14:paraId="6E805E23" w14:textId="77777777" w:rsidTr="00DA2D41">
        <w:trPr>
          <w:trHeight w:val="476"/>
        </w:trPr>
        <w:tc>
          <w:tcPr>
            <w:tcW w:w="9180" w:type="dxa"/>
            <w:shd w:val="clear" w:color="auto" w:fill="DEEAF6" w:themeFill="accent1" w:themeFillTint="33"/>
          </w:tcPr>
          <w:p w14:paraId="37E1DA4C" w14:textId="02F4A93B" w:rsidR="00DA2D41" w:rsidRDefault="00DA2D41" w:rsidP="00DA2D41">
            <w:pPr>
              <w:pStyle w:val="Heading2"/>
              <w:ind w:left="0" w:firstLine="0"/>
              <w:jc w:val="center"/>
            </w:pPr>
            <w:bookmarkStart w:id="8" w:name="_Toc184297696"/>
            <w:r>
              <w:t>DES NEDHÈ | SEAL</w:t>
            </w:r>
            <w:bookmarkEnd w:id="8"/>
          </w:p>
        </w:tc>
      </w:tr>
      <w:tr w:rsidR="00DB1794" w14:paraId="05449E47" w14:textId="77777777" w:rsidTr="0034642C">
        <w:trPr>
          <w:trHeight w:val="2284"/>
        </w:trPr>
        <w:tc>
          <w:tcPr>
            <w:tcW w:w="9180" w:type="dxa"/>
          </w:tcPr>
          <w:p w14:paraId="3EB182ED" w14:textId="77777777" w:rsidR="008B05B9" w:rsidRDefault="008B05B9" w:rsidP="00DB1794">
            <w:pPr>
              <w:ind w:left="0"/>
            </w:pPr>
          </w:p>
          <w:p w14:paraId="7433E0D1" w14:textId="53A37739" w:rsidR="00DA2D41" w:rsidRDefault="008B05B9" w:rsidP="0034642C">
            <w:pPr>
              <w:ind w:left="0" w:firstLine="0"/>
            </w:pPr>
            <w:r>
              <w:t>La rivière Seal n’a connu aucun changement important en 2023. Les gouvernements du Manitoba et du Canada, ainsi que d</w:t>
            </w:r>
            <w:r w:rsidR="00FD362E">
              <w:t>’</w:t>
            </w:r>
            <w:r>
              <w:t xml:space="preserve">autres organismes et chercheurs, ont mené diverses études et enquêtes sur les espèces sauvages dans le couloir fluvial et la région environnante. </w:t>
            </w:r>
            <w:r>
              <w:rPr>
                <w:rFonts w:asciiTheme="minorHAnsi" w:hAnsiTheme="minorHAnsi"/>
              </w:rPr>
              <w:t>L’Alliance du bassin versant de la rivière Seal a reçu un financement fédéral pour l’aider dans ses travaux visant à créer une aire protégée autochtone dans le bassin versant et à mener de nombreuses activités de surveillance</w:t>
            </w:r>
            <w:r w:rsidR="00D758B6">
              <w:rPr>
                <w:rFonts w:asciiTheme="minorHAnsi" w:hAnsiTheme="minorHAnsi"/>
              </w:rPr>
              <w:t>, entre autres</w:t>
            </w:r>
            <w:r>
              <w:rPr>
                <w:rFonts w:asciiTheme="minorHAnsi" w:hAnsiTheme="minorHAnsi"/>
              </w:rPr>
              <w:t>.</w:t>
            </w:r>
          </w:p>
        </w:tc>
      </w:tr>
      <w:tr w:rsidR="00DA2D41" w14:paraId="4F5C684A" w14:textId="77777777" w:rsidTr="00DA2D41">
        <w:trPr>
          <w:trHeight w:val="476"/>
        </w:trPr>
        <w:tc>
          <w:tcPr>
            <w:tcW w:w="9180" w:type="dxa"/>
            <w:shd w:val="clear" w:color="auto" w:fill="DEEAF6" w:themeFill="accent1" w:themeFillTint="33"/>
          </w:tcPr>
          <w:p w14:paraId="0A17D53E" w14:textId="27B324C3" w:rsidR="00DA2D41" w:rsidRPr="00DA2D41" w:rsidRDefault="00DA2D41" w:rsidP="00DA2D41">
            <w:pPr>
              <w:pStyle w:val="Heading2"/>
              <w:ind w:left="0" w:firstLine="0"/>
              <w:jc w:val="center"/>
            </w:pPr>
            <w:bookmarkStart w:id="9" w:name="_Toc184297697"/>
            <w:r>
              <w:t>DÉTROIT</w:t>
            </w:r>
            <w:bookmarkEnd w:id="9"/>
          </w:p>
        </w:tc>
      </w:tr>
      <w:tr w:rsidR="00DA2D41" w14:paraId="52F03F30" w14:textId="77777777" w:rsidTr="0034642C">
        <w:trPr>
          <w:trHeight w:val="2433"/>
        </w:trPr>
        <w:tc>
          <w:tcPr>
            <w:tcW w:w="9180" w:type="dxa"/>
          </w:tcPr>
          <w:p w14:paraId="5B7FFBD9" w14:textId="63CACEE0" w:rsidR="00DA2D41" w:rsidRDefault="00DA2D41" w:rsidP="00DB1794">
            <w:pPr>
              <w:ind w:left="0"/>
            </w:pPr>
          </w:p>
          <w:p w14:paraId="6B3A6487" w14:textId="44CF8E8E" w:rsidR="0036658E" w:rsidRDefault="0036658E" w:rsidP="0036658E">
            <w:pPr>
              <w:ind w:left="0"/>
            </w:pPr>
            <w:r>
              <w:t>L’année 2023 a été une autre année réussie sur les plans de la conservation, de l’interprétation, de l’amélioration et de l’appréciation des valeurs de la rivière Détroit. Une surveillance a été effectuée dans le cadre du plus grand projet de restauration de l</w:t>
            </w:r>
            <w:r w:rsidR="00FD362E">
              <w:t>’</w:t>
            </w:r>
            <w:r>
              <w:t>habitat des zones humides de la rivière, et une nouvelle approche de gestion du roseau commun (</w:t>
            </w:r>
            <w:r>
              <w:rPr>
                <w:i/>
              </w:rPr>
              <w:t>Phragmites australis</w:t>
            </w:r>
            <w:r>
              <w:t>), une plante envahissante, a été adoptée dans une zone humide de la rivière. L</w:t>
            </w:r>
            <w:r w:rsidR="00D03C48">
              <w:t>es travaux</w:t>
            </w:r>
            <w:r w:rsidR="001B03F4">
              <w:t xml:space="preserve"> liés au </w:t>
            </w:r>
            <w:r>
              <w:t xml:space="preserve">projet de parc urbain national Ojibway, qui borderait la rivière Détroit, </w:t>
            </w:r>
            <w:r w:rsidR="001B03F4">
              <w:t>ont</w:t>
            </w:r>
            <w:r>
              <w:t xml:space="preserve"> continué de progresser.</w:t>
            </w:r>
          </w:p>
          <w:p w14:paraId="6758C0FB" w14:textId="6EF69F0B" w:rsidR="00FB7B01" w:rsidRPr="0034642C" w:rsidRDefault="00FB7B01" w:rsidP="0036658E">
            <w:pPr>
              <w:ind w:left="0"/>
              <w:rPr>
                <w:rFonts w:eastAsia="Times New Roman" w:cs="Times New Roman"/>
                <w:bCs/>
                <w:color w:val="auto"/>
              </w:rPr>
            </w:pPr>
          </w:p>
        </w:tc>
      </w:tr>
      <w:tr w:rsidR="00EF5EDC" w14:paraId="42810EE8" w14:textId="77777777" w:rsidTr="00DA2D41">
        <w:trPr>
          <w:trHeight w:val="483"/>
        </w:trPr>
        <w:tc>
          <w:tcPr>
            <w:tcW w:w="9180" w:type="dxa"/>
            <w:shd w:val="clear" w:color="auto" w:fill="DEEAF6" w:themeFill="accent1" w:themeFillTint="33"/>
          </w:tcPr>
          <w:p w14:paraId="733139BD" w14:textId="0C738164" w:rsidR="00EF5EDC" w:rsidRDefault="00EF5EDC" w:rsidP="00EF5EDC">
            <w:pPr>
              <w:pStyle w:val="Heading2"/>
              <w:ind w:left="0" w:firstLine="0"/>
              <w:jc w:val="center"/>
            </w:pPr>
            <w:bookmarkStart w:id="10" w:name="_Toc184297698"/>
            <w:r>
              <w:t>FRASER</w:t>
            </w:r>
            <w:bookmarkEnd w:id="10"/>
          </w:p>
        </w:tc>
      </w:tr>
      <w:tr w:rsidR="00EF5EDC" w14:paraId="6C49E7DD" w14:textId="77777777" w:rsidTr="0034642C">
        <w:trPr>
          <w:trHeight w:val="4028"/>
        </w:trPr>
        <w:tc>
          <w:tcPr>
            <w:tcW w:w="9180" w:type="dxa"/>
          </w:tcPr>
          <w:p w14:paraId="7ACCBC28" w14:textId="5DC8D9FD" w:rsidR="00EF5EDC" w:rsidRDefault="00EF5EDC" w:rsidP="00EF5EDC">
            <w:pPr>
              <w:spacing w:after="0"/>
              <w:ind w:left="0" w:firstLine="0"/>
            </w:pPr>
          </w:p>
          <w:p w14:paraId="7CB2A3FC" w14:textId="11E5E7FD" w:rsidR="004A11D5" w:rsidRPr="00744E6D" w:rsidRDefault="00744E6D" w:rsidP="0034642C">
            <w:pPr>
              <w:spacing w:before="120"/>
              <w:ind w:left="0"/>
              <w:rPr>
                <w:bCs/>
                <w:szCs w:val="24"/>
              </w:rPr>
            </w:pPr>
            <w:r>
              <w:t>Les activités de recherche et de mobilisation se sont poursuivies dans le cadre du projet de recherche sur les glissements de terrain et le saumon du Fraser. Elles se sont soldées par un atelier</w:t>
            </w:r>
            <w:r w:rsidR="001B03F4">
              <w:t>,</w:t>
            </w:r>
            <w:r>
              <w:t xml:space="preserve"> dont les participants ont discuté des derniers résultats de recherche concernant les impacts des glissements de terrain sur la dynamique de l</w:t>
            </w:r>
            <w:r w:rsidR="00FD362E">
              <w:t>’</w:t>
            </w:r>
            <w:r>
              <w:t xml:space="preserve">écoulement, la migration des poissons et la génétique du saumon du Fraser. </w:t>
            </w:r>
            <w:r>
              <w:rPr>
                <w:rFonts w:asciiTheme="minorHAnsi" w:hAnsiTheme="minorHAnsi"/>
              </w:rPr>
              <w:t>La Raincoast Conservation Foundation aménage trois brèches de 30 m de largeur dans la jetée du bras nord de l</w:t>
            </w:r>
            <w:r w:rsidR="00FD362E">
              <w:rPr>
                <w:rFonts w:asciiTheme="minorHAnsi" w:hAnsiTheme="minorHAnsi"/>
              </w:rPr>
              <w:t>’</w:t>
            </w:r>
            <w:r>
              <w:rPr>
                <w:rFonts w:asciiTheme="minorHAnsi" w:hAnsiTheme="minorHAnsi"/>
              </w:rPr>
              <w:t>estuaire du fleuve Fraser afin de rétablir les voies de migration naturelles des saumons juvéniles et d</w:t>
            </w:r>
            <w:r w:rsidR="00FD362E">
              <w:rPr>
                <w:rFonts w:asciiTheme="minorHAnsi" w:hAnsiTheme="minorHAnsi"/>
              </w:rPr>
              <w:t>’</w:t>
            </w:r>
            <w:r>
              <w:rPr>
                <w:rFonts w:asciiTheme="minorHAnsi" w:hAnsiTheme="minorHAnsi"/>
              </w:rPr>
              <w:t>autres espèces de poissons, de même que les déplacements naturels de l</w:t>
            </w:r>
            <w:r w:rsidR="00FD362E">
              <w:rPr>
                <w:rFonts w:asciiTheme="minorHAnsi" w:hAnsiTheme="minorHAnsi"/>
              </w:rPr>
              <w:t>’</w:t>
            </w:r>
            <w:r>
              <w:rPr>
                <w:rFonts w:asciiTheme="minorHAnsi" w:hAnsiTheme="minorHAnsi"/>
              </w:rPr>
              <w:t>eau douce et des sédiments fins.</w:t>
            </w:r>
            <w:r w:rsidR="003D5850">
              <w:rPr>
                <w:rFonts w:asciiTheme="minorHAnsi" w:hAnsiTheme="minorHAnsi"/>
              </w:rPr>
              <w:t xml:space="preserve"> </w:t>
            </w:r>
            <w:r>
              <w:t>La Province de la Colombie-Britannique, le gouvernement du Canada et le Conseil du bassin du Fraser coordonnent des projets de cartographie des plaines inondables dans le haut et le bas Fraser afin de renforcer la résilience communautaire de 15 Premières Nations et de 8 administrations locales par rapport aux dangers d</w:t>
            </w:r>
            <w:r w:rsidR="00FD362E">
              <w:t>’</w:t>
            </w:r>
            <w:r>
              <w:t>inondation liés au fleuve.</w:t>
            </w:r>
          </w:p>
        </w:tc>
      </w:tr>
      <w:tr w:rsidR="00C904BF" w14:paraId="597FB5F0" w14:textId="77777777" w:rsidTr="004058DD">
        <w:trPr>
          <w:trHeight w:val="476"/>
        </w:trPr>
        <w:tc>
          <w:tcPr>
            <w:tcW w:w="9180" w:type="dxa"/>
            <w:shd w:val="clear" w:color="auto" w:fill="DEEAF6" w:themeFill="accent1" w:themeFillTint="33"/>
          </w:tcPr>
          <w:p w14:paraId="44610814" w14:textId="65F2D186" w:rsidR="00C904BF" w:rsidRDefault="00C904BF" w:rsidP="00CD69CA">
            <w:pPr>
              <w:pStyle w:val="Heading2"/>
              <w:ind w:left="0" w:firstLine="0"/>
              <w:jc w:val="center"/>
              <w:rPr>
                <w:rFonts w:eastAsia="Calibri"/>
              </w:rPr>
            </w:pPr>
            <w:bookmarkStart w:id="11" w:name="_Toc184297699"/>
            <w:r>
              <w:t>DES FRANÇAIS</w:t>
            </w:r>
            <w:bookmarkEnd w:id="11"/>
          </w:p>
        </w:tc>
      </w:tr>
      <w:tr w:rsidR="00C904BF" w14:paraId="57DD785D" w14:textId="77777777" w:rsidTr="0034642C">
        <w:trPr>
          <w:trHeight w:val="476"/>
        </w:trPr>
        <w:tc>
          <w:tcPr>
            <w:tcW w:w="9180" w:type="dxa"/>
            <w:shd w:val="clear" w:color="auto" w:fill="auto"/>
          </w:tcPr>
          <w:p w14:paraId="4997C032" w14:textId="77777777" w:rsidR="00C904BF" w:rsidRDefault="00C904BF" w:rsidP="00CD69CA">
            <w:pPr>
              <w:pStyle w:val="Heading2"/>
              <w:ind w:left="0" w:firstLine="0"/>
              <w:jc w:val="center"/>
              <w:rPr>
                <w:rFonts w:eastAsia="Calibri"/>
              </w:rPr>
            </w:pPr>
          </w:p>
          <w:p w14:paraId="68FA332D" w14:textId="4E11C40C" w:rsidR="00C904BF" w:rsidRDefault="00C904BF" w:rsidP="006B0E05">
            <w:pPr>
              <w:ind w:left="0"/>
              <w:rPr>
                <w:rFonts w:eastAsia="Verdana"/>
                <w:iCs/>
                <w:color w:val="000000" w:themeColor="text1"/>
                <w:spacing w:val="1"/>
                <w:position w:val="-1"/>
                <w:sz w:val="22"/>
                <w:szCs w:val="24"/>
              </w:rPr>
            </w:pPr>
            <w:r>
              <w:rPr>
                <w:color w:val="000000" w:themeColor="text1"/>
              </w:rPr>
              <w:t>Cette année, Parcs Ontario a ajouté au personnel du Centre d</w:t>
            </w:r>
            <w:r w:rsidR="00FD362E">
              <w:rPr>
                <w:color w:val="000000" w:themeColor="text1"/>
              </w:rPr>
              <w:t>’</w:t>
            </w:r>
            <w:r>
              <w:rPr>
                <w:color w:val="000000" w:themeColor="text1"/>
              </w:rPr>
              <w:t>accueil du parc de la Rivière</w:t>
            </w:r>
            <w:r>
              <w:rPr>
                <w:color w:val="000000" w:themeColor="text1"/>
              </w:rPr>
              <w:noBreakHyphen/>
              <w:t>des</w:t>
            </w:r>
            <w:r>
              <w:rPr>
                <w:color w:val="000000" w:themeColor="text1"/>
              </w:rPr>
              <w:noBreakHyphen/>
              <w:t>Français un interprète chargé de faire connaître au public l</w:t>
            </w:r>
            <w:r w:rsidR="00FD362E">
              <w:rPr>
                <w:color w:val="000000" w:themeColor="text1"/>
              </w:rPr>
              <w:t>’</w:t>
            </w:r>
            <w:r>
              <w:rPr>
                <w:color w:val="000000" w:themeColor="text1"/>
              </w:rPr>
              <w:t xml:space="preserve">importance culturelle, historique et écologique du delta de la rivière, et d’offrir des programmes connexes. Cet interprète a pu apporter son soutien à des programmes dirigés par des Autochtones en partenariat avec Parcs Ontario.  </w:t>
            </w:r>
          </w:p>
          <w:p w14:paraId="1373ADC1" w14:textId="77777777" w:rsidR="00C904BF" w:rsidRPr="00C904BF" w:rsidRDefault="00C904BF" w:rsidP="0034642C"/>
        </w:tc>
      </w:tr>
      <w:tr w:rsidR="00CD69CA" w14:paraId="68CC985A" w14:textId="77777777" w:rsidTr="004058DD">
        <w:trPr>
          <w:trHeight w:val="476"/>
        </w:trPr>
        <w:tc>
          <w:tcPr>
            <w:tcW w:w="9180" w:type="dxa"/>
            <w:shd w:val="clear" w:color="auto" w:fill="DEEAF6" w:themeFill="accent1" w:themeFillTint="33"/>
          </w:tcPr>
          <w:p w14:paraId="64DC0C31" w14:textId="43CF75B6" w:rsidR="00CD69CA" w:rsidRDefault="00CD69CA" w:rsidP="00CD69CA">
            <w:pPr>
              <w:pStyle w:val="Heading2"/>
              <w:ind w:left="0" w:firstLine="0"/>
              <w:jc w:val="center"/>
            </w:pPr>
            <w:bookmarkStart w:id="12" w:name="_Toc184297700"/>
            <w:r>
              <w:t>GRAND</w:t>
            </w:r>
            <w:bookmarkEnd w:id="12"/>
          </w:p>
        </w:tc>
      </w:tr>
      <w:tr w:rsidR="00CD69CA" w14:paraId="76A0ECCC" w14:textId="77777777" w:rsidTr="00CD69CA">
        <w:trPr>
          <w:trHeight w:val="1193"/>
        </w:trPr>
        <w:tc>
          <w:tcPr>
            <w:tcW w:w="9180" w:type="dxa"/>
          </w:tcPr>
          <w:p w14:paraId="2967FE2B" w14:textId="77777777" w:rsidR="00C904BF" w:rsidRDefault="00C904BF" w:rsidP="00CD69CA">
            <w:pPr>
              <w:spacing w:after="0"/>
              <w:ind w:left="0" w:firstLine="0"/>
            </w:pPr>
          </w:p>
          <w:p w14:paraId="46358A38" w14:textId="30A3983D" w:rsidR="004058DD" w:rsidRDefault="007B6683" w:rsidP="004A11D5">
            <w:pPr>
              <w:spacing w:after="0"/>
              <w:ind w:left="0" w:firstLine="0"/>
            </w:pPr>
            <w:r>
              <w:t>De nombreux organismes et particuliers continuent de célébrer le patrimoine culturel, récréatif et naturel de la rivière Grand et de ses affluents en réalisant un large éventail d</w:t>
            </w:r>
            <w:r w:rsidR="00FD362E">
              <w:t>’</w:t>
            </w:r>
            <w:r>
              <w:t>études, de plans et d</w:t>
            </w:r>
            <w:r w:rsidR="00FD362E">
              <w:t>’</w:t>
            </w:r>
            <w:r>
              <w:t>activités.</w:t>
            </w:r>
          </w:p>
          <w:p w14:paraId="1DB2FD02" w14:textId="2486AF90" w:rsidR="007B6683" w:rsidRDefault="007B6683" w:rsidP="004A11D5">
            <w:pPr>
              <w:spacing w:after="0"/>
              <w:ind w:left="0" w:firstLine="0"/>
            </w:pPr>
          </w:p>
        </w:tc>
      </w:tr>
      <w:tr w:rsidR="00E21089" w14:paraId="1F490830" w14:textId="77777777" w:rsidTr="004058DD">
        <w:trPr>
          <w:trHeight w:val="476"/>
        </w:trPr>
        <w:tc>
          <w:tcPr>
            <w:tcW w:w="9180" w:type="dxa"/>
            <w:shd w:val="clear" w:color="auto" w:fill="DEEAF6" w:themeFill="accent1" w:themeFillTint="33"/>
          </w:tcPr>
          <w:p w14:paraId="4A5E50A8" w14:textId="60D58DB2" w:rsidR="00E21089" w:rsidRPr="00AD4383" w:rsidRDefault="00E21089" w:rsidP="00E21089">
            <w:pPr>
              <w:pStyle w:val="Heading2"/>
              <w:ind w:left="0" w:firstLine="0"/>
              <w:jc w:val="center"/>
            </w:pPr>
            <w:bookmarkStart w:id="13" w:name="_Toc184297701"/>
            <w:r>
              <w:t xml:space="preserve">HARVAQTUUQ | </w:t>
            </w:r>
            <w:r>
              <w:rPr>
                <w:rFonts w:ascii="Gadugi" w:hAnsi="Gadugi"/>
              </w:rPr>
              <w:t>ᕼᐊᕐᕙᖅᑑᖅ</w:t>
            </w:r>
            <w:r>
              <w:t xml:space="preserve"> | KAZAN</w:t>
            </w:r>
            <w:bookmarkEnd w:id="13"/>
          </w:p>
        </w:tc>
      </w:tr>
      <w:tr w:rsidR="00E21089" w14:paraId="59921264" w14:textId="77777777" w:rsidTr="00CD69CA">
        <w:trPr>
          <w:trHeight w:val="1193"/>
        </w:trPr>
        <w:tc>
          <w:tcPr>
            <w:tcW w:w="9180" w:type="dxa"/>
          </w:tcPr>
          <w:p w14:paraId="4E0F717E" w14:textId="77777777" w:rsidR="006240DC" w:rsidRDefault="006240DC" w:rsidP="00E21089">
            <w:pPr>
              <w:spacing w:after="0"/>
              <w:ind w:left="0" w:right="-20" w:firstLine="0"/>
              <w:rPr>
                <w:rFonts w:eastAsia="Verdana" w:cs="Verdana"/>
              </w:rPr>
            </w:pPr>
          </w:p>
          <w:p w14:paraId="347650B9" w14:textId="3AF5CB08" w:rsidR="006240DC" w:rsidRDefault="006240DC" w:rsidP="00E21089">
            <w:pPr>
              <w:spacing w:after="0"/>
              <w:ind w:left="0" w:right="-20" w:firstLine="0"/>
              <w:rPr>
                <w:rFonts w:eastAsia="Verdana" w:cs="Verdana"/>
              </w:rPr>
            </w:pPr>
            <w:r>
              <w:t>Utilisation traditionnelle : en 2023, les Inuit de Baker Lake et d’Arviat ont continué de pratiquer la récolte, la pêche, le piégeage, le camping et d’autres activités traditionnelles tout au long de l</w:t>
            </w:r>
            <w:r w:rsidR="00FD362E">
              <w:t>’</w:t>
            </w:r>
            <w:r>
              <w:t xml:space="preserve">année sur la longueur de la rivière Harvaqtuuq/Kazan, au sein de son bassin </w:t>
            </w:r>
            <w:r w:rsidR="00396814">
              <w:t>versant</w:t>
            </w:r>
            <w:r>
              <w:t xml:space="preserve"> et à l</w:t>
            </w:r>
            <w:r w:rsidR="00FD362E">
              <w:t>’</w:t>
            </w:r>
            <w:r>
              <w:t xml:space="preserve">extérieur de celui-ci. Traditionnellement, les Harvaqtuurmiut, les Ahiarmiut et les Pallirmiut occupaient </w:t>
            </w:r>
            <w:r w:rsidR="007E1C1B">
              <w:t>c</w:t>
            </w:r>
            <w:r>
              <w:t xml:space="preserve">e bassin versant. De nos jours, les groupes inuits qui ont élu domicile dans des hameaux ou </w:t>
            </w:r>
            <w:r w:rsidR="0088499A">
              <w:t xml:space="preserve">des </w:t>
            </w:r>
            <w:r>
              <w:t xml:space="preserve">communautés </w:t>
            </w:r>
            <w:r w:rsidR="00E53605">
              <w:t xml:space="preserve">modernes </w:t>
            </w:r>
            <w:r>
              <w:t>du Nunavut s’y trouvent parce que le gouvernement fédéral a mis en place différentes politiques qui ont mené les Inuit à quitter leur territoire pour s</w:t>
            </w:r>
            <w:r w:rsidR="00FD362E">
              <w:t>’</w:t>
            </w:r>
            <w:r>
              <w:t>installer</w:t>
            </w:r>
            <w:r w:rsidR="00E53605">
              <w:t xml:space="preserve"> à ces endroits</w:t>
            </w:r>
            <w:r>
              <w:t xml:space="preserve"> à partir du milieu des années</w:t>
            </w:r>
            <w:r w:rsidR="003D5850">
              <w:t> </w:t>
            </w:r>
            <w:r>
              <w:t xml:space="preserve">1950, voire plus tôt </w:t>
            </w:r>
            <w:r w:rsidR="0088499A">
              <w:t xml:space="preserve">dans </w:t>
            </w:r>
            <w:r>
              <w:t xml:space="preserve">certains </w:t>
            </w:r>
            <w:r w:rsidR="0088499A">
              <w:t>cas</w:t>
            </w:r>
            <w:r>
              <w:t>.</w:t>
            </w:r>
          </w:p>
          <w:p w14:paraId="4FCBD408" w14:textId="77777777" w:rsidR="00E21089" w:rsidRPr="00AD4383" w:rsidRDefault="00E21089" w:rsidP="0034642C">
            <w:pPr>
              <w:spacing w:after="0"/>
              <w:ind w:left="0" w:right="-20" w:firstLine="0"/>
            </w:pPr>
          </w:p>
        </w:tc>
      </w:tr>
      <w:tr w:rsidR="00C1355F" w14:paraId="791A344C" w14:textId="77777777" w:rsidTr="004058DD">
        <w:trPr>
          <w:trHeight w:val="495"/>
        </w:trPr>
        <w:tc>
          <w:tcPr>
            <w:tcW w:w="9180" w:type="dxa"/>
            <w:shd w:val="clear" w:color="auto" w:fill="DEEAF6" w:themeFill="accent1" w:themeFillTint="33"/>
          </w:tcPr>
          <w:p w14:paraId="5D394508" w14:textId="786FB79C" w:rsidR="00C1355F" w:rsidRDefault="00C1355F" w:rsidP="00C1355F">
            <w:pPr>
              <w:pStyle w:val="Heading2"/>
              <w:ind w:left="0" w:firstLine="0"/>
              <w:jc w:val="center"/>
              <w:rPr>
                <w:rFonts w:eastAsia="Calibri"/>
              </w:rPr>
            </w:pPr>
            <w:bookmarkStart w:id="14" w:name="_Toc184297702"/>
            <w:r>
              <w:t>HILLSBOROUGH</w:t>
            </w:r>
            <w:bookmarkEnd w:id="14"/>
          </w:p>
        </w:tc>
      </w:tr>
      <w:tr w:rsidR="00C1355F" w14:paraId="48976C01" w14:textId="77777777" w:rsidTr="00C1355F">
        <w:trPr>
          <w:trHeight w:val="495"/>
        </w:trPr>
        <w:tc>
          <w:tcPr>
            <w:tcW w:w="9180" w:type="dxa"/>
            <w:shd w:val="clear" w:color="auto" w:fill="FFFFFF" w:themeFill="background1"/>
          </w:tcPr>
          <w:p w14:paraId="318D7C25" w14:textId="77777777" w:rsidR="006240DC" w:rsidRDefault="006240DC" w:rsidP="00D21F1B">
            <w:pPr>
              <w:ind w:left="0"/>
            </w:pPr>
          </w:p>
          <w:p w14:paraId="1E2A341B" w14:textId="100100DF" w:rsidR="00360E7B" w:rsidRDefault="00360E7B" w:rsidP="0034642C">
            <w:pPr>
              <w:ind w:left="0" w:firstLine="0"/>
              <w:rPr>
                <w:rFonts w:eastAsia="Times New Roman"/>
                <w:b/>
                <w:color w:val="auto"/>
                <w:sz w:val="22"/>
              </w:rPr>
            </w:pPr>
            <w:r>
              <w:t>Les équipes de travail conjointes, formées de membres de l’Association de la rivière Hillsborough et de son partenaire, le Pisquid River Enhancement Project, ont aménagé 5,85 km de sentiers ou</w:t>
            </w:r>
            <w:r w:rsidR="00EF7AEE">
              <w:t xml:space="preserve"> de</w:t>
            </w:r>
            <w:r>
              <w:t xml:space="preserve"> routes tertiaires à l’intention des ouvriers travaillant à la restauration de cours d</w:t>
            </w:r>
            <w:r w:rsidR="00FD362E">
              <w:t>’</w:t>
            </w:r>
            <w:r>
              <w:t>eau et ont retiré de</w:t>
            </w:r>
            <w:r w:rsidR="006A7DCC">
              <w:t xml:space="preserve"> ceux-ci</w:t>
            </w:r>
            <w:r>
              <w:t xml:space="preserve"> 919 chablis </w:t>
            </w:r>
            <w:r w:rsidR="006A7DCC">
              <w:t>laissés</w:t>
            </w:r>
            <w:r>
              <w:t xml:space="preserve"> par la tempête post-tropicale Fiona. L’aménagement de ces sentiers et routes tertiaires, ainsi que l</w:t>
            </w:r>
            <w:r w:rsidR="00FD362E">
              <w:t>’</w:t>
            </w:r>
            <w:r>
              <w:t>enlèvement des chablis, étaient essentiels pour permettre la réalisation de relevés par pêche à l’électricité et d</w:t>
            </w:r>
            <w:r w:rsidR="00FD362E">
              <w:t>’</w:t>
            </w:r>
            <w:r>
              <w:t>un grand nombre des relevés de nids de frai devant être menés pour le saumon atlantique. Grâce à des fonds provenant des gouvernements provincial et fédéral, des chablis ont également été retirés sur des routes d</w:t>
            </w:r>
            <w:r w:rsidR="00FD362E">
              <w:t>’</w:t>
            </w:r>
            <w:r>
              <w:t>accès et des sentiers récréatifs liés à la rivière du patrimoine canadien Hillsborough, et des fonds remis par la Fondation pour la conservation du saumon atlantique ont permis de surveiller les populations de ce poisson et l</w:t>
            </w:r>
            <w:r w:rsidR="00FD362E">
              <w:t>’</w:t>
            </w:r>
            <w:r>
              <w:t>accès des poissons à nageoires aux cours d</w:t>
            </w:r>
            <w:r w:rsidR="00FD362E">
              <w:t>’</w:t>
            </w:r>
            <w:r>
              <w:t>eau. Diverses activités</w:t>
            </w:r>
            <w:r w:rsidR="00774D2D">
              <w:t>,</w:t>
            </w:r>
            <w:r>
              <w:t xml:space="preserve"> scolaires et autres</w:t>
            </w:r>
            <w:r w:rsidR="00774D2D">
              <w:t>,</w:t>
            </w:r>
            <w:r>
              <w:t xml:space="preserve"> ont permis de faire connaître l</w:t>
            </w:r>
            <w:r w:rsidR="00FD362E">
              <w:t>’</w:t>
            </w:r>
            <w:r>
              <w:t xml:space="preserve">écologie du bassin versant au public, et ces efforts sont documentés dans le bulletin de nouvelles </w:t>
            </w:r>
            <w:r>
              <w:rPr>
                <w:i/>
                <w:iCs/>
              </w:rPr>
              <w:t>Hillsborough Tidings</w:t>
            </w:r>
            <w:r>
              <w:t xml:space="preserve"> de même que dans les médias sociaux.</w:t>
            </w:r>
          </w:p>
          <w:p w14:paraId="7D553321" w14:textId="70E3E2B1" w:rsidR="00C1355F" w:rsidRPr="00C1355F" w:rsidRDefault="00C1355F" w:rsidP="0034642C">
            <w:pPr>
              <w:ind w:left="0" w:firstLine="0"/>
            </w:pPr>
          </w:p>
        </w:tc>
      </w:tr>
      <w:tr w:rsidR="00E21089" w14:paraId="7160E9A3" w14:textId="77777777" w:rsidTr="004058DD">
        <w:trPr>
          <w:trHeight w:val="495"/>
        </w:trPr>
        <w:tc>
          <w:tcPr>
            <w:tcW w:w="9180" w:type="dxa"/>
            <w:shd w:val="clear" w:color="auto" w:fill="DEEAF6" w:themeFill="accent1" w:themeFillTint="33"/>
          </w:tcPr>
          <w:p w14:paraId="76D55669" w14:textId="55AB38A7" w:rsidR="00E21089" w:rsidRDefault="00E21089" w:rsidP="00E21089">
            <w:pPr>
              <w:pStyle w:val="Heading2"/>
              <w:ind w:left="0" w:firstLine="0"/>
              <w:jc w:val="center"/>
              <w:rPr>
                <w:rFonts w:eastAsia="Calibri"/>
              </w:rPr>
            </w:pPr>
            <w:r>
              <w:tab/>
            </w:r>
            <w:bookmarkStart w:id="15" w:name="_Toc184297703"/>
            <w:r>
              <w:t>HUMBER</w:t>
            </w:r>
            <w:bookmarkEnd w:id="15"/>
            <w:r>
              <w:tab/>
            </w:r>
          </w:p>
        </w:tc>
      </w:tr>
      <w:tr w:rsidR="00E21089" w14:paraId="69DD9435" w14:textId="77777777" w:rsidTr="00E21089">
        <w:trPr>
          <w:trHeight w:val="495"/>
        </w:trPr>
        <w:tc>
          <w:tcPr>
            <w:tcW w:w="9180" w:type="dxa"/>
            <w:shd w:val="clear" w:color="auto" w:fill="FFFFFF" w:themeFill="background1"/>
          </w:tcPr>
          <w:p w14:paraId="612A2F79" w14:textId="77777777" w:rsidR="00FF5E14" w:rsidRDefault="00FF5E14" w:rsidP="00E21089">
            <w:pPr>
              <w:ind w:left="0" w:firstLine="0"/>
            </w:pPr>
          </w:p>
          <w:p w14:paraId="2ECBEA49" w14:textId="2BC8AC73" w:rsidR="00FF5E14" w:rsidRDefault="00FF5E14" w:rsidP="00E21089">
            <w:pPr>
              <w:ind w:left="0" w:firstLine="0"/>
            </w:pPr>
            <w:r>
              <w:t>L’Office de protection de la nature de Toronto et de la région (TRCA), en collaboration avec des partenaires et des communautés du bassin versant, a continué de protéger, de restaurer et de célébrer la rivière Humber en tant que rivière du patrimoine canadien par des moyens nouveaux et originaux. Fait à noter en 2023, 604</w:t>
            </w:r>
            <w:r w:rsidR="00E42123">
              <w:t> </w:t>
            </w:r>
            <w:r>
              <w:t xml:space="preserve">311 visites ont été enregistrées dans les parcs et les terres protégées de la TRCA. </w:t>
            </w:r>
            <w:r w:rsidR="00A72FA0">
              <w:t xml:space="preserve">Celle-ci </w:t>
            </w:r>
            <w:r>
              <w:t xml:space="preserve">a </w:t>
            </w:r>
            <w:r w:rsidR="00A72FA0">
              <w:t xml:space="preserve">d’ailleurs </w:t>
            </w:r>
            <w:r>
              <w:t>mobilisé des milliers de personnes par l’entremise de programmes et d</w:t>
            </w:r>
            <w:r w:rsidR="00FD362E">
              <w:t>’</w:t>
            </w:r>
            <w:r>
              <w:t>activités liés au patrimoine culturel. En outre, la TRCA s’affaire à mettre à jour le plan du bassin versant de la rivière Humber. Des terres d</w:t>
            </w:r>
            <w:r w:rsidR="00FD362E">
              <w:t>’</w:t>
            </w:r>
            <w:r>
              <w:t xml:space="preserve">une superficie de 6,59 acres ont </w:t>
            </w:r>
            <w:r w:rsidR="00BA3B81">
              <w:t xml:space="preserve">également </w:t>
            </w:r>
            <w:r>
              <w:t>été acquises dans le secteur en 2023 dans le cadre du projet d</w:t>
            </w:r>
            <w:r w:rsidR="00FD362E">
              <w:t>’</w:t>
            </w:r>
            <w:r>
              <w:t>acquisition d</w:t>
            </w:r>
            <w:r w:rsidR="00FD362E">
              <w:t>’</w:t>
            </w:r>
            <w:r>
              <w:t>espaces verts de la TRCA.</w:t>
            </w:r>
          </w:p>
          <w:p w14:paraId="2DEFF6D8" w14:textId="77777777" w:rsidR="00E21089" w:rsidRDefault="00E21089" w:rsidP="0034642C">
            <w:pPr>
              <w:ind w:left="0" w:firstLine="0"/>
            </w:pPr>
          </w:p>
        </w:tc>
      </w:tr>
      <w:tr w:rsidR="00E21089" w14:paraId="5CCDE65A" w14:textId="77777777" w:rsidTr="00E21089">
        <w:trPr>
          <w:trHeight w:val="495"/>
        </w:trPr>
        <w:tc>
          <w:tcPr>
            <w:tcW w:w="9180" w:type="dxa"/>
            <w:shd w:val="clear" w:color="auto" w:fill="DEEAF6" w:themeFill="accent1" w:themeFillTint="33"/>
          </w:tcPr>
          <w:p w14:paraId="38E5A3E9" w14:textId="722C9643" w:rsidR="00E21089" w:rsidRPr="00D37AC4" w:rsidRDefault="00E21089" w:rsidP="00E21089">
            <w:pPr>
              <w:pStyle w:val="Heading2"/>
              <w:ind w:left="0" w:firstLine="0"/>
              <w:jc w:val="center"/>
            </w:pPr>
            <w:bookmarkStart w:id="16" w:name="_Toc184297704"/>
            <w:r>
              <w:t xml:space="preserve">KANGIRJUAP | </w:t>
            </w:r>
            <w:r>
              <w:rPr>
                <w:rFonts w:ascii="Gadugi" w:hAnsi="Gadugi"/>
              </w:rPr>
              <w:t>ᑭᖏᕐᔪᐊᑉ</w:t>
            </w:r>
            <w:r>
              <w:t xml:space="preserve"> | THELON</w:t>
            </w:r>
            <w:bookmarkEnd w:id="16"/>
          </w:p>
        </w:tc>
      </w:tr>
      <w:tr w:rsidR="00E21089" w14:paraId="5A2CE811" w14:textId="77777777" w:rsidTr="00E21089">
        <w:trPr>
          <w:trHeight w:val="495"/>
        </w:trPr>
        <w:tc>
          <w:tcPr>
            <w:tcW w:w="9180" w:type="dxa"/>
            <w:shd w:val="clear" w:color="auto" w:fill="FFFFFF" w:themeFill="background1"/>
          </w:tcPr>
          <w:p w14:paraId="67DA65F9" w14:textId="77777777" w:rsidR="00FF5E14" w:rsidRDefault="00FF5E14" w:rsidP="00E21089">
            <w:pPr>
              <w:ind w:left="0" w:firstLine="0"/>
            </w:pPr>
          </w:p>
          <w:p w14:paraId="7F8B0178" w14:textId="3B65D5E1" w:rsidR="00FF5E14" w:rsidRDefault="00D97CAB" w:rsidP="00E21089">
            <w:pPr>
              <w:ind w:left="0" w:firstLine="0"/>
            </w:pPr>
            <w:r>
              <w:t>Utilisation traditionnelle : en 2023, les Inuit de Baker Lake ont continué de pratiquer la récolte, la pêche, le piégeage, le camping et d’autres activités traditionnelles tout au long de l</w:t>
            </w:r>
            <w:r w:rsidR="00FD362E">
              <w:t>’</w:t>
            </w:r>
            <w:r>
              <w:t xml:space="preserve">année sur la longueur de la rivière Kangirjuap/Thelon, au sein de son bassin </w:t>
            </w:r>
            <w:r w:rsidR="00F06615">
              <w:t>versant</w:t>
            </w:r>
            <w:r>
              <w:t xml:space="preserve"> et à l</w:t>
            </w:r>
            <w:r w:rsidR="00FD362E">
              <w:t>’</w:t>
            </w:r>
            <w:r>
              <w:t>extérieur de celui-ci. Traditionnellement, les Akilinirmiut et les Qainirmiut vivaient dans le bassin versant de la rivière Kangirjuap/Thelon. De nos jours, les groupes inuits qui ont élu domicile dans des hameaux ou communautés du Nunavut s’y trouvent parce que le gouvernement fédéral a mis en place différentes politiques qui ont mené les Inuit à quitter leur territoire pour s</w:t>
            </w:r>
            <w:r w:rsidR="00FD362E">
              <w:t>’</w:t>
            </w:r>
            <w:r>
              <w:t>installer dans les hameaux ou communautés modernes à partir du milieu des années</w:t>
            </w:r>
            <w:r w:rsidR="003D5850">
              <w:t> </w:t>
            </w:r>
            <w:r>
              <w:t>1950, voire plus tôt à certains endroits.</w:t>
            </w:r>
          </w:p>
          <w:p w14:paraId="620AFA30" w14:textId="338D6A92" w:rsidR="004058DD" w:rsidRPr="00D37AC4" w:rsidRDefault="004058DD" w:rsidP="004A11D5">
            <w:pPr>
              <w:ind w:left="0" w:firstLine="0"/>
            </w:pPr>
          </w:p>
        </w:tc>
      </w:tr>
      <w:tr w:rsidR="00E21089" w14:paraId="30A82ABC" w14:textId="77777777" w:rsidTr="00E21089">
        <w:trPr>
          <w:trHeight w:val="495"/>
        </w:trPr>
        <w:tc>
          <w:tcPr>
            <w:tcW w:w="9180" w:type="dxa"/>
            <w:shd w:val="clear" w:color="auto" w:fill="DEEAF6" w:themeFill="accent1" w:themeFillTint="33"/>
          </w:tcPr>
          <w:p w14:paraId="6F15C15E" w14:textId="5F87B7A7" w:rsidR="00E21089" w:rsidRDefault="00E21089" w:rsidP="00E21089">
            <w:pPr>
              <w:pStyle w:val="Heading2"/>
              <w:ind w:left="0" w:firstLine="0"/>
              <w:jc w:val="center"/>
            </w:pPr>
            <w:bookmarkStart w:id="17" w:name="_Toc184297705"/>
            <w:r>
              <w:t>KICKING HORSE</w:t>
            </w:r>
            <w:bookmarkEnd w:id="17"/>
            <w:r>
              <w:t xml:space="preserve"> </w:t>
            </w:r>
          </w:p>
        </w:tc>
      </w:tr>
      <w:tr w:rsidR="00E21089" w14:paraId="4052BF1D" w14:textId="77777777" w:rsidTr="00E21089">
        <w:trPr>
          <w:trHeight w:val="495"/>
        </w:trPr>
        <w:tc>
          <w:tcPr>
            <w:tcW w:w="9180" w:type="dxa"/>
            <w:shd w:val="clear" w:color="auto" w:fill="FFFFFF" w:themeFill="background1"/>
          </w:tcPr>
          <w:p w14:paraId="2B5804C4" w14:textId="77777777" w:rsidR="00D97CAB" w:rsidRDefault="00D97CAB" w:rsidP="00E21089">
            <w:pPr>
              <w:ind w:left="0" w:firstLine="0"/>
            </w:pPr>
          </w:p>
          <w:p w14:paraId="779C1C28" w14:textId="76E2F771" w:rsidR="00370DE7" w:rsidRPr="0034642C" w:rsidRDefault="00370DE7" w:rsidP="00370DE7">
            <w:pPr>
              <w:spacing w:after="0"/>
              <w:ind w:left="45" w:right="-20"/>
              <w:rPr>
                <w:rFonts w:eastAsia="Verdana" w:cstheme="minorHAnsi"/>
                <w:bCs/>
                <w:szCs w:val="24"/>
              </w:rPr>
            </w:pPr>
            <w:r>
              <w:t>La fréquentation du parc continue d</w:t>
            </w:r>
            <w:r w:rsidR="00FD362E">
              <w:t>’</w:t>
            </w:r>
            <w:r>
              <w:t xml:space="preserve">atteindre des niveaux records dans le bassin versant de la Kicking Horse. Les impacts les plus importants sont observés dans les aires de fréquentation diurne des Chutes-Takakkaw et du Lac-Emerald, où les aires de stationnement et les poubelles ont tendance à déborder, et où des randonneurs piétinent fortement la végétation hors des sentiers. Une dégradation marquée de la végétation est visible le long de la rive nord du lac Emerald en raison du large éventail de petits dispositifs de flottaison qu’utilisent les amateurs de loisirs lorsqu’ils entrent dans le lac ou en sortent. </w:t>
            </w:r>
          </w:p>
          <w:p w14:paraId="3E7C443D" w14:textId="749D6B77" w:rsidR="004058DD" w:rsidRDefault="004058DD" w:rsidP="004A11D5">
            <w:pPr>
              <w:ind w:left="0" w:firstLine="0"/>
            </w:pPr>
          </w:p>
        </w:tc>
      </w:tr>
      <w:tr w:rsidR="00947EB6" w14:paraId="40C30333" w14:textId="77777777" w:rsidTr="008B6102">
        <w:trPr>
          <w:trHeight w:val="495"/>
        </w:trPr>
        <w:tc>
          <w:tcPr>
            <w:tcW w:w="9180" w:type="dxa"/>
            <w:shd w:val="clear" w:color="auto" w:fill="DEEAF6" w:themeFill="accent1" w:themeFillTint="33"/>
          </w:tcPr>
          <w:p w14:paraId="4BDEE34E" w14:textId="40F294A6" w:rsidR="00947EB6" w:rsidRDefault="00947EB6" w:rsidP="008B6102">
            <w:pPr>
              <w:pStyle w:val="Heading2"/>
              <w:ind w:left="0" w:firstLine="0"/>
              <w:jc w:val="center"/>
              <w:rPr>
                <w:rFonts w:eastAsia="Calibri"/>
              </w:rPr>
            </w:pPr>
            <w:bookmarkStart w:id="18" w:name="_Toc184297706"/>
            <w:r>
              <w:t>MAIN</w:t>
            </w:r>
            <w:bookmarkEnd w:id="18"/>
          </w:p>
        </w:tc>
      </w:tr>
      <w:tr w:rsidR="00947EB6" w14:paraId="09CEDD42" w14:textId="77777777" w:rsidTr="0034642C">
        <w:trPr>
          <w:trHeight w:val="495"/>
        </w:trPr>
        <w:tc>
          <w:tcPr>
            <w:tcW w:w="9180" w:type="dxa"/>
            <w:shd w:val="clear" w:color="auto" w:fill="FFFFFF" w:themeFill="background1"/>
          </w:tcPr>
          <w:p w14:paraId="120D55D7" w14:textId="77777777" w:rsidR="00947EB6" w:rsidRDefault="00947EB6" w:rsidP="0034642C">
            <w:pPr>
              <w:ind w:left="0" w:firstLine="0"/>
            </w:pPr>
          </w:p>
          <w:p w14:paraId="0AF12CB8" w14:textId="77777777" w:rsidR="00461C8B" w:rsidRPr="00A80116" w:rsidRDefault="00461C8B" w:rsidP="0034642C">
            <w:pPr>
              <w:ind w:left="0"/>
              <w:rPr>
                <w:bCs/>
              </w:rPr>
            </w:pPr>
            <w:r>
              <w:t>La rivière du patrimoine canadien Main demeure dans un état qui reflète les valeurs naturelles et récréatives pour lesquelles elle a été désignée.</w:t>
            </w:r>
          </w:p>
          <w:p w14:paraId="145E8988" w14:textId="77777777" w:rsidR="00947EB6" w:rsidRPr="00947EB6" w:rsidRDefault="00947EB6" w:rsidP="0034642C">
            <w:pPr>
              <w:ind w:left="0" w:firstLine="0"/>
            </w:pPr>
          </w:p>
        </w:tc>
      </w:tr>
      <w:tr w:rsidR="00947EB6" w14:paraId="7B536C7C" w14:textId="77777777" w:rsidTr="008B6102">
        <w:trPr>
          <w:trHeight w:val="495"/>
        </w:trPr>
        <w:tc>
          <w:tcPr>
            <w:tcW w:w="9180" w:type="dxa"/>
            <w:shd w:val="clear" w:color="auto" w:fill="DEEAF6" w:themeFill="accent1" w:themeFillTint="33"/>
          </w:tcPr>
          <w:p w14:paraId="5423C543" w14:textId="3993E530" w:rsidR="00947EB6" w:rsidRDefault="00947EB6" w:rsidP="008B6102">
            <w:pPr>
              <w:pStyle w:val="Heading2"/>
              <w:ind w:left="0" w:firstLine="0"/>
              <w:jc w:val="center"/>
              <w:rPr>
                <w:rFonts w:eastAsia="Calibri"/>
              </w:rPr>
            </w:pPr>
            <w:bookmarkStart w:id="19" w:name="_Toc184297707"/>
            <w:r>
              <w:t>MARGAREE</w:t>
            </w:r>
            <w:bookmarkEnd w:id="19"/>
          </w:p>
        </w:tc>
      </w:tr>
      <w:tr w:rsidR="00947EB6" w14:paraId="234888D3" w14:textId="77777777" w:rsidTr="0034642C">
        <w:trPr>
          <w:trHeight w:val="495"/>
        </w:trPr>
        <w:tc>
          <w:tcPr>
            <w:tcW w:w="9180" w:type="dxa"/>
            <w:shd w:val="clear" w:color="auto" w:fill="FFFFFF" w:themeFill="background1"/>
          </w:tcPr>
          <w:p w14:paraId="18E4AA5F" w14:textId="16EB5DC7" w:rsidR="00947EB6" w:rsidRDefault="0034642C" w:rsidP="0034642C">
            <w:pPr>
              <w:ind w:left="0" w:firstLine="0"/>
            </w:pPr>
            <w:r>
              <w:t>Aucun rapport n</w:t>
            </w:r>
            <w:r w:rsidR="00FD362E">
              <w:t>’</w:t>
            </w:r>
            <w:r>
              <w:t xml:space="preserve">a été présenté. </w:t>
            </w:r>
          </w:p>
          <w:p w14:paraId="4A75C662" w14:textId="77777777" w:rsidR="00947EB6" w:rsidRPr="00947EB6" w:rsidRDefault="00947EB6" w:rsidP="0034642C"/>
        </w:tc>
      </w:tr>
      <w:tr w:rsidR="008B6102" w14:paraId="4F509A33" w14:textId="77777777" w:rsidTr="008B6102">
        <w:trPr>
          <w:trHeight w:val="495"/>
        </w:trPr>
        <w:tc>
          <w:tcPr>
            <w:tcW w:w="9180" w:type="dxa"/>
            <w:shd w:val="clear" w:color="auto" w:fill="DEEAF6" w:themeFill="accent1" w:themeFillTint="33"/>
          </w:tcPr>
          <w:p w14:paraId="51B2B182" w14:textId="081FDC39" w:rsidR="008B6102" w:rsidRPr="00D37AC4" w:rsidRDefault="00844564" w:rsidP="008B6102">
            <w:pPr>
              <w:pStyle w:val="Heading2"/>
              <w:ind w:left="0" w:firstLine="0"/>
              <w:jc w:val="center"/>
            </w:pPr>
            <w:bookmarkStart w:id="20" w:name="_Toc184297708"/>
            <w:r>
              <w:t>KISIPIKAMAWI SIPI | APIHT SIPI| HAYES</w:t>
            </w:r>
            <w:bookmarkEnd w:id="20"/>
          </w:p>
        </w:tc>
      </w:tr>
      <w:tr w:rsidR="008B6102" w14:paraId="2C0A6300" w14:textId="77777777" w:rsidTr="00E21089">
        <w:trPr>
          <w:trHeight w:val="495"/>
        </w:trPr>
        <w:tc>
          <w:tcPr>
            <w:tcW w:w="9180" w:type="dxa"/>
            <w:shd w:val="clear" w:color="auto" w:fill="FFFFFF" w:themeFill="background1"/>
          </w:tcPr>
          <w:p w14:paraId="055E624C" w14:textId="77777777" w:rsidR="00947EB6" w:rsidRDefault="00947EB6" w:rsidP="004A11D5">
            <w:pPr>
              <w:ind w:left="0" w:firstLine="0"/>
              <w:rPr>
                <w:szCs w:val="24"/>
              </w:rPr>
            </w:pPr>
          </w:p>
          <w:p w14:paraId="63AFA4DE" w14:textId="71988D2A" w:rsidR="00947EB6" w:rsidRPr="0034642C" w:rsidRDefault="00947EB6" w:rsidP="008B6102">
            <w:pPr>
              <w:ind w:left="0" w:firstLine="0"/>
              <w:rPr>
                <w:rFonts w:eastAsia="Times New Roman" w:cs="Times New Roman"/>
                <w:color w:val="auto"/>
                <w:sz w:val="22"/>
              </w:rPr>
            </w:pPr>
            <w:r>
              <w:t>Aucun changement important n’a été observé en 2023 dans le couloir de la rivière Hayes, mais des véligères (larves) de moules zébrées ont été détectées dans la rivière Echimamish. Cette espèce envahissante pose donc un risque pour l’ensemble du couloir fluvial. La fréquentation du lieu historique national York Factory est revenue à son niveau d</w:t>
            </w:r>
            <w:r w:rsidR="00FD362E">
              <w:t>’</w:t>
            </w:r>
            <w:r>
              <w:t xml:space="preserve">avant la pandémie. Le gouvernement du Manitoba et d’autres partenaires ont mené diverses études et activités de surveillance des espèces sauvages dans le couloir fluvial et la région environnante. </w:t>
            </w:r>
          </w:p>
          <w:p w14:paraId="62387C6E" w14:textId="54023412" w:rsidR="004058DD" w:rsidRPr="00D37AC4" w:rsidRDefault="004058DD" w:rsidP="004A11D5">
            <w:pPr>
              <w:ind w:left="0" w:firstLine="0"/>
            </w:pPr>
          </w:p>
        </w:tc>
      </w:tr>
      <w:tr w:rsidR="008B6102" w14:paraId="4B37012D" w14:textId="77777777" w:rsidTr="008B6102">
        <w:trPr>
          <w:trHeight w:val="495"/>
        </w:trPr>
        <w:tc>
          <w:tcPr>
            <w:tcW w:w="9180" w:type="dxa"/>
            <w:shd w:val="clear" w:color="auto" w:fill="DEEAF6" w:themeFill="accent1" w:themeFillTint="33"/>
          </w:tcPr>
          <w:p w14:paraId="3C740D82" w14:textId="5F258989" w:rsidR="008B6102" w:rsidRPr="003A64AC" w:rsidRDefault="008B6102" w:rsidP="008B6102">
            <w:pPr>
              <w:pStyle w:val="Heading2"/>
              <w:ind w:left="0" w:firstLine="0"/>
              <w:jc w:val="center"/>
              <w:rPr>
                <w:szCs w:val="24"/>
              </w:rPr>
            </w:pPr>
            <w:bookmarkStart w:id="21" w:name="_Toc184297709"/>
            <w:r>
              <w:t xml:space="preserve">KUGLUKTUK | </w:t>
            </w:r>
            <w:r>
              <w:rPr>
                <w:rFonts w:ascii="Gadugi" w:hAnsi="Gadugi"/>
              </w:rPr>
              <w:t>ᑯᒡᓗᒃᑐᒃ</w:t>
            </w:r>
            <w:r>
              <w:t xml:space="preserve"> | COPPERMINE (MISE EN CANDIDATURE)</w:t>
            </w:r>
            <w:bookmarkEnd w:id="21"/>
          </w:p>
        </w:tc>
      </w:tr>
      <w:tr w:rsidR="008B6102" w14:paraId="45D10007" w14:textId="77777777" w:rsidTr="00E21089">
        <w:trPr>
          <w:trHeight w:val="495"/>
        </w:trPr>
        <w:tc>
          <w:tcPr>
            <w:tcW w:w="9180" w:type="dxa"/>
            <w:shd w:val="clear" w:color="auto" w:fill="FFFFFF" w:themeFill="background1"/>
          </w:tcPr>
          <w:p w14:paraId="6FA7A460" w14:textId="77777777" w:rsidR="00A80116" w:rsidRDefault="00A80116" w:rsidP="004A11D5">
            <w:pPr>
              <w:ind w:left="0" w:firstLine="0"/>
            </w:pPr>
          </w:p>
          <w:p w14:paraId="032578CD" w14:textId="04E31B73" w:rsidR="00A80116" w:rsidRPr="0034642C" w:rsidRDefault="00A80116" w:rsidP="0034642C">
            <w:pPr>
              <w:autoSpaceDE w:val="0"/>
              <w:autoSpaceDN w:val="0"/>
              <w:adjustRightInd w:val="0"/>
              <w:spacing w:after="0"/>
              <w:ind w:left="0" w:firstLine="0"/>
              <w:rPr>
                <w:rFonts w:eastAsiaTheme="minorEastAsia"/>
                <w:color w:val="auto"/>
                <w:szCs w:val="24"/>
              </w:rPr>
            </w:pPr>
            <w:r>
              <w:rPr>
                <w:color w:val="auto"/>
              </w:rPr>
              <w:t>Utilisation traditionnelle : en 2023, les Inuit de Kugluktuk ont continué de pratiquer la récolte, la pêche, le piégeage, le camping et d’autres activités traditionnelles tout au long de l</w:t>
            </w:r>
            <w:r w:rsidR="00FD362E">
              <w:rPr>
                <w:color w:val="auto"/>
              </w:rPr>
              <w:t>’</w:t>
            </w:r>
            <w:r>
              <w:rPr>
                <w:color w:val="auto"/>
              </w:rPr>
              <w:t xml:space="preserve">année sur la longueur de la rivière Kugluktuk/Coppermine, au sein de son bassin </w:t>
            </w:r>
            <w:r w:rsidR="00F06615">
              <w:rPr>
                <w:color w:val="auto"/>
              </w:rPr>
              <w:t>versant</w:t>
            </w:r>
            <w:r>
              <w:rPr>
                <w:color w:val="auto"/>
              </w:rPr>
              <w:t xml:space="preserve"> et à l</w:t>
            </w:r>
            <w:r w:rsidR="00FD362E">
              <w:rPr>
                <w:color w:val="auto"/>
              </w:rPr>
              <w:t>’</w:t>
            </w:r>
            <w:r>
              <w:rPr>
                <w:color w:val="auto"/>
              </w:rPr>
              <w:t>extérieur de celui-ci</w:t>
            </w:r>
            <w:r w:rsidR="009A4DC1">
              <w:rPr>
                <w:color w:val="auto"/>
              </w:rPr>
              <w:t xml:space="preserve">. </w:t>
            </w:r>
            <w:r>
              <w:rPr>
                <w:color w:val="auto"/>
              </w:rPr>
              <w:t>Les Inuit de Kugluktuk parlent l</w:t>
            </w:r>
            <w:r w:rsidR="00FD362E">
              <w:rPr>
                <w:color w:val="auto"/>
              </w:rPr>
              <w:t>’</w:t>
            </w:r>
            <w:r>
              <w:rPr>
                <w:color w:val="auto"/>
              </w:rPr>
              <w:t>inuinnaqtun, une forme d</w:t>
            </w:r>
            <w:r w:rsidR="00FD362E">
              <w:rPr>
                <w:color w:val="auto"/>
              </w:rPr>
              <w:t>’</w:t>
            </w:r>
            <w:r>
              <w:rPr>
                <w:color w:val="auto"/>
              </w:rPr>
              <w:t>inuktitut parlée dans l</w:t>
            </w:r>
            <w:r w:rsidR="00FD362E">
              <w:rPr>
                <w:color w:val="auto"/>
              </w:rPr>
              <w:t>’</w:t>
            </w:r>
            <w:r>
              <w:rPr>
                <w:color w:val="auto"/>
              </w:rPr>
              <w:t>Arctique de l’Ouest (Nunavut et Territoires du Nord-Ouest). Les Inuit de Kugluktuk sont appelés Inuit du cuivre parce qu’ils utilisaient le cuivre trouvé le long de la rivière Kugluktuk-Coppermine pour fabriquer des outils. La communauté de Kugluktuk est la communauté la plus à l</w:t>
            </w:r>
            <w:r w:rsidR="00FD362E">
              <w:rPr>
                <w:color w:val="auto"/>
              </w:rPr>
              <w:t>’</w:t>
            </w:r>
            <w:r>
              <w:rPr>
                <w:color w:val="auto"/>
              </w:rPr>
              <w:t>ouest du Nunavut. Elle se trouve au nord du cercle arctique, là où la rivière Kugluktuk-Coppermine se jette dans le golfe Coronation.</w:t>
            </w:r>
          </w:p>
          <w:p w14:paraId="18350A18" w14:textId="3E1A3824" w:rsidR="004058DD" w:rsidRPr="003A64AC" w:rsidRDefault="004058DD" w:rsidP="004A11D5">
            <w:pPr>
              <w:ind w:left="0" w:firstLine="0"/>
              <w:rPr>
                <w:szCs w:val="24"/>
              </w:rPr>
            </w:pPr>
          </w:p>
        </w:tc>
      </w:tr>
    </w:tbl>
    <w:p w14:paraId="11FFE66B" w14:textId="77777777" w:rsidR="00212F7C" w:rsidRDefault="00212F7C">
      <w:bookmarkStart w:id="22" w:name="_Toc184297710"/>
      <w:r>
        <w:br w:type="page"/>
      </w:r>
    </w:p>
    <w:tbl>
      <w:tblPr>
        <w:tblStyle w:val="TableGrid"/>
        <w:tblW w:w="9180" w:type="dxa"/>
        <w:tblInd w:w="25" w:type="dxa"/>
        <w:tblCellMar>
          <w:top w:w="81" w:type="dxa"/>
          <w:left w:w="335" w:type="dxa"/>
          <w:right w:w="115" w:type="dxa"/>
        </w:tblCellMar>
        <w:tblLook w:val="04A0" w:firstRow="1" w:lastRow="0" w:firstColumn="1" w:lastColumn="0" w:noHBand="0" w:noVBand="1"/>
      </w:tblPr>
      <w:tblGrid>
        <w:gridCol w:w="9180"/>
      </w:tblGrid>
      <w:tr w:rsidR="008B6102" w14:paraId="6A538C35" w14:textId="77777777" w:rsidTr="008B6102">
        <w:trPr>
          <w:trHeight w:val="495"/>
        </w:trPr>
        <w:tc>
          <w:tcPr>
            <w:tcW w:w="9180" w:type="dxa"/>
            <w:shd w:val="clear" w:color="auto" w:fill="DEEAF6" w:themeFill="accent1" w:themeFillTint="33"/>
          </w:tcPr>
          <w:p w14:paraId="5BC3319F" w14:textId="7372B112" w:rsidR="008B6102" w:rsidRDefault="008B6102" w:rsidP="008B6102">
            <w:pPr>
              <w:pStyle w:val="Heading2"/>
              <w:ind w:left="0" w:firstLine="0"/>
              <w:jc w:val="center"/>
            </w:pPr>
            <w:r>
              <w:t xml:space="preserve">KUUJJUAQ | </w:t>
            </w:r>
            <w:r>
              <w:rPr>
                <w:rFonts w:ascii="Gadugi" w:hAnsi="Gadugi"/>
              </w:rPr>
              <w:t>ᑳᔾᔪᐊᖅ</w:t>
            </w:r>
            <w:r>
              <w:t xml:space="preserve"> | SOPER</w:t>
            </w:r>
            <w:bookmarkEnd w:id="22"/>
          </w:p>
        </w:tc>
      </w:tr>
      <w:tr w:rsidR="008B6102" w14:paraId="286CB618" w14:textId="77777777" w:rsidTr="00E21089">
        <w:trPr>
          <w:trHeight w:val="495"/>
        </w:trPr>
        <w:tc>
          <w:tcPr>
            <w:tcW w:w="9180" w:type="dxa"/>
            <w:shd w:val="clear" w:color="auto" w:fill="FFFFFF" w:themeFill="background1"/>
          </w:tcPr>
          <w:p w14:paraId="5AD64717" w14:textId="399D6A3C" w:rsidR="00A80116" w:rsidRDefault="00A80116" w:rsidP="008B6102">
            <w:pPr>
              <w:ind w:left="0" w:firstLine="0"/>
            </w:pPr>
          </w:p>
          <w:p w14:paraId="5A30E471" w14:textId="1FC36C36" w:rsidR="00A80116" w:rsidRPr="0034642C" w:rsidRDefault="00A80116" w:rsidP="00A80116">
            <w:pPr>
              <w:pStyle w:val="Default"/>
            </w:pPr>
            <w:r>
              <w:t>Utilisation traditionnelle : en 2023, les Inuit de Kimmirut ont continué de pratiquer la récolte, la pêche, le piégeage, le camping et d’autres activités traditionnelles tout au long de l</w:t>
            </w:r>
            <w:r w:rsidR="00FD362E">
              <w:t>’</w:t>
            </w:r>
            <w:r>
              <w:t xml:space="preserve">année sur la longueur de la rivière Kuujjuaq/Soper, au sein de son bassin </w:t>
            </w:r>
            <w:r w:rsidR="00FE15DD">
              <w:t>versant</w:t>
            </w:r>
            <w:r>
              <w:t xml:space="preserve"> et à l</w:t>
            </w:r>
            <w:r w:rsidR="00FD362E">
              <w:t>’</w:t>
            </w:r>
            <w:r>
              <w:t>extérieur de celui-ci. Des résidents de Kimmirut et d</w:t>
            </w:r>
            <w:r w:rsidR="00FD362E">
              <w:t>’</w:t>
            </w:r>
            <w:r>
              <w:t>Iqaluit se déplacent également sur la rivière et pratiquent des activités de récolte dans l’eau et la vallée environnante. De nos jours, les groupes inuits qui ont élu domicile dans des hameaux ou communautés</w:t>
            </w:r>
            <w:r w:rsidR="000D4A57">
              <w:t xml:space="preserve"> modernes</w:t>
            </w:r>
            <w:r>
              <w:t xml:space="preserve"> du Nunavut s’y trouvent parce que le gouvernement fédéral a mis en place différentes politiques qui </w:t>
            </w:r>
            <w:r w:rsidR="0023320A">
              <w:t xml:space="preserve">les </w:t>
            </w:r>
            <w:r>
              <w:t>ont mené</w:t>
            </w:r>
            <w:r w:rsidR="0023320A">
              <w:t>s</w:t>
            </w:r>
            <w:r>
              <w:t xml:space="preserve"> à quitter leur territoire pour s</w:t>
            </w:r>
            <w:r w:rsidR="00FD362E">
              <w:t>’</w:t>
            </w:r>
            <w:r>
              <w:t xml:space="preserve">installer </w:t>
            </w:r>
            <w:r w:rsidR="0023320A">
              <w:t>à ces endroits</w:t>
            </w:r>
            <w:r>
              <w:t xml:space="preserve"> à partir du milieu des années</w:t>
            </w:r>
            <w:r w:rsidR="003D5850">
              <w:t> </w:t>
            </w:r>
            <w:r>
              <w:t xml:space="preserve">1950, voire plus tôt </w:t>
            </w:r>
            <w:r w:rsidR="0023320A">
              <w:t xml:space="preserve">dans </w:t>
            </w:r>
            <w:r>
              <w:t xml:space="preserve">certains </w:t>
            </w:r>
            <w:r w:rsidR="0023320A">
              <w:t>cas</w:t>
            </w:r>
            <w:r>
              <w:t xml:space="preserve">. </w:t>
            </w:r>
          </w:p>
          <w:p w14:paraId="2236B93A" w14:textId="77777777" w:rsidR="008B6102" w:rsidRDefault="008B6102" w:rsidP="008B6102">
            <w:pPr>
              <w:ind w:left="0" w:firstLine="0"/>
            </w:pPr>
          </w:p>
        </w:tc>
      </w:tr>
      <w:tr w:rsidR="008B6102" w14:paraId="7B9D4C99" w14:textId="77777777" w:rsidTr="008B6102">
        <w:trPr>
          <w:trHeight w:val="495"/>
        </w:trPr>
        <w:tc>
          <w:tcPr>
            <w:tcW w:w="9180" w:type="dxa"/>
            <w:shd w:val="clear" w:color="auto" w:fill="DEEAF6" w:themeFill="accent1" w:themeFillTint="33"/>
          </w:tcPr>
          <w:p w14:paraId="58381C2A" w14:textId="5FFC4A4E" w:rsidR="008B6102" w:rsidRPr="00B469EE" w:rsidRDefault="008B6102" w:rsidP="008B6102">
            <w:pPr>
              <w:pStyle w:val="Heading2"/>
              <w:ind w:left="0" w:firstLine="0"/>
              <w:jc w:val="center"/>
            </w:pPr>
            <w:bookmarkStart w:id="23" w:name="_Toc184297711"/>
            <w:r>
              <w:t>LISTUGUJ | HAUTE-RESTIGOUCHE</w:t>
            </w:r>
            <w:bookmarkEnd w:id="23"/>
          </w:p>
        </w:tc>
      </w:tr>
      <w:tr w:rsidR="008B6102" w14:paraId="2F5EDD37" w14:textId="77777777" w:rsidTr="00E21089">
        <w:trPr>
          <w:trHeight w:val="495"/>
        </w:trPr>
        <w:tc>
          <w:tcPr>
            <w:tcW w:w="9180" w:type="dxa"/>
            <w:shd w:val="clear" w:color="auto" w:fill="FFFFFF" w:themeFill="background1"/>
          </w:tcPr>
          <w:p w14:paraId="5007997E" w14:textId="77777777" w:rsidR="00285EF8" w:rsidRDefault="00285EF8" w:rsidP="00285EF8">
            <w:pPr>
              <w:rPr>
                <w:lang w:val="en-CA"/>
              </w:rPr>
            </w:pPr>
          </w:p>
          <w:p w14:paraId="49D50E6B" w14:textId="6C39BC13" w:rsidR="00285EF8" w:rsidRDefault="00285EF8" w:rsidP="0034642C">
            <w:pPr>
              <w:ind w:left="0" w:firstLine="0"/>
              <w:rPr>
                <w:rFonts w:eastAsia="Times New Roman" w:cs="Times New Roman"/>
                <w:b/>
                <w:color w:val="auto"/>
              </w:rPr>
            </w:pPr>
            <w:r>
              <w:t xml:space="preserve">Les fortes précipitations qui ont marqué la deuxième partie de la saison ont facilité la navigation, ce qui a permis à la Restigouche de connaître une bonne année sur le plan des activités récréatives. Malgré les tendances observées depuis dix ans </w:t>
            </w:r>
            <w:r w:rsidR="008764F2">
              <w:t>en matière de</w:t>
            </w:r>
            <w:r>
              <w:t xml:space="preserve"> changements climatiques, dont une augmentation des vagues de chaleur pendant l</w:t>
            </w:r>
            <w:r w:rsidR="00FD362E">
              <w:t>’</w:t>
            </w:r>
            <w:r>
              <w:t xml:space="preserve">été, les conditions n’ont pas été trop mauvaises ces deux dernières années. Comme l’hiver a été doux, cependant, nous devons </w:t>
            </w:r>
            <w:r w:rsidR="00662243">
              <w:t xml:space="preserve">à nouveau </w:t>
            </w:r>
            <w:r>
              <w:t xml:space="preserve">espérer des précipitations élevées cette année, </w:t>
            </w:r>
            <w:r w:rsidR="00662243">
              <w:t xml:space="preserve">pour atténuer </w:t>
            </w:r>
            <w:r>
              <w:t>les fluctuations de la température de l</w:t>
            </w:r>
            <w:r w:rsidR="00FD362E">
              <w:t>’</w:t>
            </w:r>
            <w:r>
              <w:t>eau. La quantité de déchets à ramasser aux emplacements de camping n’a pas fait l’objet d’une surveillance cette année. La pêche a été relativement bonne cette saison. Des dépliants ont été distribués pendant l</w:t>
            </w:r>
            <w:r w:rsidR="00FD362E">
              <w:t>’</w:t>
            </w:r>
            <w:r>
              <w:t>été aux visiteurs pratiquant des activités de loisirs.</w:t>
            </w:r>
          </w:p>
          <w:p w14:paraId="5C908583" w14:textId="7B9C9C6D" w:rsidR="00C1355F" w:rsidRPr="00B469EE" w:rsidRDefault="00C1355F" w:rsidP="004A11D5">
            <w:pPr>
              <w:ind w:left="0" w:firstLine="0"/>
            </w:pPr>
          </w:p>
        </w:tc>
      </w:tr>
      <w:tr w:rsidR="00C1355F" w14:paraId="0BFD8FF3" w14:textId="77777777" w:rsidTr="00C1355F">
        <w:trPr>
          <w:trHeight w:val="495"/>
        </w:trPr>
        <w:tc>
          <w:tcPr>
            <w:tcW w:w="9180" w:type="dxa"/>
            <w:shd w:val="clear" w:color="auto" w:fill="DEEAF6" w:themeFill="accent1" w:themeFillTint="33"/>
          </w:tcPr>
          <w:p w14:paraId="1BE3C4B2" w14:textId="0A33E085" w:rsidR="00C1355F" w:rsidRPr="00747D03" w:rsidRDefault="00C1355F" w:rsidP="00C1355F">
            <w:pPr>
              <w:pStyle w:val="Heading2"/>
              <w:ind w:left="0" w:firstLine="0"/>
              <w:jc w:val="center"/>
            </w:pPr>
            <w:bookmarkStart w:id="24" w:name="_Toc184297712"/>
            <w:r>
              <w:t>MATTAWA</w:t>
            </w:r>
            <w:bookmarkEnd w:id="24"/>
          </w:p>
        </w:tc>
      </w:tr>
      <w:tr w:rsidR="00C1355F" w14:paraId="11C14744" w14:textId="77777777" w:rsidTr="00E21089">
        <w:trPr>
          <w:trHeight w:val="495"/>
        </w:trPr>
        <w:tc>
          <w:tcPr>
            <w:tcW w:w="9180" w:type="dxa"/>
            <w:shd w:val="clear" w:color="auto" w:fill="FFFFFF" w:themeFill="background1"/>
          </w:tcPr>
          <w:p w14:paraId="7D34DF34" w14:textId="77777777" w:rsidR="0063608B" w:rsidRDefault="0063608B" w:rsidP="00C1355F">
            <w:pPr>
              <w:ind w:left="0" w:firstLine="0"/>
            </w:pPr>
          </w:p>
          <w:p w14:paraId="19C65E82" w14:textId="55F41279" w:rsidR="0063608B" w:rsidRDefault="0063608B" w:rsidP="00C1355F">
            <w:pPr>
              <w:ind w:left="0" w:firstLine="0"/>
            </w:pPr>
            <w:r>
              <w:t>La rivière Mattawa relie la rivière des Outaouais au lac Nipissing. Elle a joué un rôle important comme lien vers l’Ouest dans le réseau commercial de la traite des fourrures et dans l</w:t>
            </w:r>
            <w:r w:rsidR="00FD362E">
              <w:t>’</w:t>
            </w:r>
            <w:r>
              <w:t>exploration du continent nord-américain. Le tronçon désigné de la rivière se trouve principalement à l’intérieur des limites des parcs provinciaux Mattawa River et Samuel</w:t>
            </w:r>
            <w:r>
              <w:noBreakHyphen/>
              <w:t>de</w:t>
            </w:r>
            <w:r>
              <w:noBreakHyphen/>
              <w:t>Champlain, tous deux gérés par Parcs Ontario. Le portage La Vase a été ajouté à la désignation de la rivière du patrimoine canadien au début des années</w:t>
            </w:r>
            <w:r w:rsidR="003D5850">
              <w:t> </w:t>
            </w:r>
            <w:r>
              <w:t>2000 et est géré par l</w:t>
            </w:r>
            <w:r w:rsidR="00FD362E">
              <w:t>’</w:t>
            </w:r>
            <w:r>
              <w:t>Office de protection de la nature de North Bay Mattawa.</w:t>
            </w:r>
          </w:p>
          <w:p w14:paraId="198801FF" w14:textId="532FE77B" w:rsidR="004058DD" w:rsidRPr="00747D03" w:rsidRDefault="004058DD" w:rsidP="004A11D5">
            <w:pPr>
              <w:ind w:left="0" w:firstLine="0"/>
            </w:pPr>
          </w:p>
        </w:tc>
      </w:tr>
      <w:tr w:rsidR="008C7EDC" w14:paraId="1D58AB85" w14:textId="77777777" w:rsidTr="004058DD">
        <w:trPr>
          <w:trHeight w:val="495"/>
        </w:trPr>
        <w:tc>
          <w:tcPr>
            <w:tcW w:w="9180" w:type="dxa"/>
            <w:shd w:val="clear" w:color="auto" w:fill="DEEAF6" w:themeFill="accent1" w:themeFillTint="33"/>
          </w:tcPr>
          <w:p w14:paraId="31BC3C0E" w14:textId="62A6F054" w:rsidR="008C7EDC" w:rsidRDefault="008C7EDC" w:rsidP="006819E4">
            <w:pPr>
              <w:pStyle w:val="Heading2"/>
              <w:ind w:left="0" w:firstLine="0"/>
              <w:jc w:val="center"/>
            </w:pPr>
            <w:bookmarkStart w:id="25" w:name="_Toc184297713"/>
            <w:r>
              <w:t>MISKWEWESIBI | MISKWEYAABIZIIBEE | BLOODVEIN (MANITOBA)</w:t>
            </w:r>
            <w:bookmarkEnd w:id="25"/>
          </w:p>
        </w:tc>
      </w:tr>
      <w:tr w:rsidR="008C7EDC" w14:paraId="680D4C46" w14:textId="77777777" w:rsidTr="00D747AF">
        <w:tblPrEx>
          <w:tblCellMar>
            <w:top w:w="91" w:type="dxa"/>
          </w:tblCellMar>
        </w:tblPrEx>
        <w:trPr>
          <w:trHeight w:val="1471"/>
        </w:trPr>
        <w:tc>
          <w:tcPr>
            <w:tcW w:w="9180" w:type="dxa"/>
          </w:tcPr>
          <w:p w14:paraId="6E5F3139" w14:textId="4217E15C" w:rsidR="008C7EDC" w:rsidRDefault="008C7EDC" w:rsidP="0040558F">
            <w:pPr>
              <w:spacing w:after="0" w:line="259" w:lineRule="auto"/>
              <w:ind w:left="0" w:firstLine="0"/>
              <w:rPr>
                <w:rFonts w:asciiTheme="minorHAnsi" w:eastAsia="Verdana" w:hAnsiTheme="minorHAnsi" w:cs="Verdana"/>
              </w:rPr>
            </w:pPr>
          </w:p>
          <w:p w14:paraId="77537BAA" w14:textId="77777777" w:rsidR="0063608B" w:rsidRDefault="0063608B" w:rsidP="0063608B">
            <w:pPr>
              <w:ind w:left="0" w:firstLine="0"/>
              <w:rPr>
                <w:rFonts w:asciiTheme="minorHAnsi" w:eastAsia="Verdana" w:hAnsiTheme="minorHAnsi" w:cs="Verdana"/>
              </w:rPr>
            </w:pPr>
            <w:r>
              <w:rPr>
                <w:rFonts w:asciiTheme="minorHAnsi" w:hAnsiTheme="minorHAnsi"/>
              </w:rPr>
              <w:t>La rivière Bloodvein n’a connu aucun changement important en 2023. Elle demeure une destination prisée des amateurs de pagayage en eaux vives, et l’assemblée de partenaires Pimachiowin Aki a poursuivi des projets et en a lancé de nouveaux relativement à la désignation de site du patrimoine mondial de l’UNESCO de la région.</w:t>
            </w:r>
          </w:p>
          <w:p w14:paraId="6DB8DD43" w14:textId="4B92CA8D" w:rsidR="004058DD" w:rsidRPr="0034642C" w:rsidRDefault="004058DD" w:rsidP="0040558F">
            <w:pPr>
              <w:spacing w:after="0" w:line="259" w:lineRule="auto"/>
              <w:ind w:left="0" w:firstLine="0"/>
              <w:rPr>
                <w:b/>
                <w:bCs/>
              </w:rPr>
            </w:pPr>
          </w:p>
        </w:tc>
      </w:tr>
      <w:tr w:rsidR="00C1355F" w14:paraId="544CA9E2" w14:textId="77777777" w:rsidTr="00C1355F">
        <w:tblPrEx>
          <w:tblCellMar>
            <w:top w:w="91" w:type="dxa"/>
          </w:tblCellMar>
        </w:tblPrEx>
        <w:trPr>
          <w:trHeight w:val="520"/>
        </w:trPr>
        <w:tc>
          <w:tcPr>
            <w:tcW w:w="9180" w:type="dxa"/>
            <w:shd w:val="clear" w:color="auto" w:fill="DEEAF6" w:themeFill="accent1" w:themeFillTint="33"/>
          </w:tcPr>
          <w:p w14:paraId="007CF196" w14:textId="7E70BD38" w:rsidR="00C1355F" w:rsidRPr="0076589D" w:rsidRDefault="00C1355F" w:rsidP="00C1355F">
            <w:pPr>
              <w:pStyle w:val="Heading2"/>
              <w:ind w:left="0" w:firstLine="0"/>
              <w:jc w:val="center"/>
            </w:pPr>
            <w:bookmarkStart w:id="26" w:name="_Toc184297714"/>
            <w:r>
              <w:t>MISSINAIBI</w:t>
            </w:r>
            <w:bookmarkEnd w:id="26"/>
          </w:p>
        </w:tc>
      </w:tr>
      <w:tr w:rsidR="00C1355F" w14:paraId="4C6E2DFC" w14:textId="77777777" w:rsidTr="00D747AF">
        <w:tblPrEx>
          <w:tblCellMar>
            <w:top w:w="91" w:type="dxa"/>
          </w:tblCellMar>
        </w:tblPrEx>
        <w:trPr>
          <w:trHeight w:val="1471"/>
        </w:trPr>
        <w:tc>
          <w:tcPr>
            <w:tcW w:w="9180" w:type="dxa"/>
          </w:tcPr>
          <w:p w14:paraId="6BBED828" w14:textId="77777777" w:rsidR="00CA3855" w:rsidRDefault="00CA3855" w:rsidP="00C1355F">
            <w:pPr>
              <w:spacing w:after="0" w:line="259" w:lineRule="auto"/>
              <w:ind w:left="0" w:firstLine="0"/>
            </w:pPr>
          </w:p>
          <w:p w14:paraId="48F10976" w14:textId="65552DC1" w:rsidR="00CA3855" w:rsidRDefault="00CA3855" w:rsidP="00C1355F">
            <w:pPr>
              <w:spacing w:after="0" w:line="259" w:lineRule="auto"/>
              <w:ind w:left="0" w:firstLine="0"/>
            </w:pPr>
            <w:r>
              <w:t>On a continué de gérer la rivière Missinaibi en tant qu</w:t>
            </w:r>
            <w:r w:rsidR="00FD362E">
              <w:t>’</w:t>
            </w:r>
            <w:r>
              <w:t>important parcours de canotage en eaux vives retraçant les itinéraires traditionnels des Premières Nations et le commerce historique des fourrures par les Européens du lac Supérieur à la baie d</w:t>
            </w:r>
            <w:r w:rsidR="00FD362E">
              <w:t>’</w:t>
            </w:r>
            <w:r>
              <w:t>Hudson.</w:t>
            </w:r>
          </w:p>
          <w:p w14:paraId="1C1E2B41" w14:textId="4617F711" w:rsidR="004058DD" w:rsidRPr="0076589D" w:rsidRDefault="004058DD" w:rsidP="004A11D5">
            <w:pPr>
              <w:spacing w:after="0" w:line="259" w:lineRule="auto"/>
              <w:ind w:left="0" w:firstLine="0"/>
            </w:pPr>
          </w:p>
        </w:tc>
      </w:tr>
      <w:tr w:rsidR="0089273B" w14:paraId="1688CB4A" w14:textId="77777777" w:rsidTr="0089273B">
        <w:tblPrEx>
          <w:tblCellMar>
            <w:top w:w="91" w:type="dxa"/>
          </w:tblCellMar>
        </w:tblPrEx>
        <w:trPr>
          <w:trHeight w:val="466"/>
        </w:trPr>
        <w:tc>
          <w:tcPr>
            <w:tcW w:w="9180" w:type="dxa"/>
            <w:shd w:val="clear" w:color="auto" w:fill="DEEAF6" w:themeFill="accent1" w:themeFillTint="33"/>
          </w:tcPr>
          <w:p w14:paraId="1B7FF28D" w14:textId="3A425CE4" w:rsidR="0089273B" w:rsidRPr="00D37AC4" w:rsidRDefault="0089273B" w:rsidP="0089273B">
            <w:pPr>
              <w:pStyle w:val="Heading2"/>
              <w:ind w:left="0" w:firstLine="0"/>
              <w:jc w:val="center"/>
            </w:pPr>
            <w:bookmarkStart w:id="27" w:name="_Toc184297715"/>
            <w:r>
              <w:t>NAHʔĄ DEHÉ | NAHANNI SUD</w:t>
            </w:r>
            <w:bookmarkEnd w:id="27"/>
          </w:p>
        </w:tc>
      </w:tr>
      <w:tr w:rsidR="0089273B" w14:paraId="20BEEC0D" w14:textId="77777777" w:rsidTr="00D747AF">
        <w:tblPrEx>
          <w:tblCellMar>
            <w:top w:w="91" w:type="dxa"/>
          </w:tblCellMar>
        </w:tblPrEx>
        <w:trPr>
          <w:trHeight w:val="1471"/>
        </w:trPr>
        <w:tc>
          <w:tcPr>
            <w:tcW w:w="9180" w:type="dxa"/>
          </w:tcPr>
          <w:p w14:paraId="6F378D04" w14:textId="77777777" w:rsidR="00CA3855" w:rsidRDefault="00CA3855" w:rsidP="0089273B">
            <w:pPr>
              <w:spacing w:after="0" w:line="259" w:lineRule="auto"/>
              <w:ind w:left="0" w:firstLine="0"/>
            </w:pPr>
          </w:p>
          <w:p w14:paraId="6FFCCFE1" w14:textId="19A3A3F2" w:rsidR="0089273B" w:rsidRDefault="00CA3855" w:rsidP="00E46308">
            <w:pPr>
              <w:ind w:left="0" w:firstLine="0"/>
            </w:pPr>
            <w:r>
              <w:t>La rivière Nahanni Sud (Nahʔą Dehé) constitue l</w:t>
            </w:r>
            <w:r w:rsidR="00FD362E">
              <w:t>’</w:t>
            </w:r>
            <w:r>
              <w:t>épine dorsale des réserves de parc national Nahanni et Nááts'įhch'oh. En 2023, des feux de forêt ont cependant eu de graves conséquences sur les visiteurs et les opérations d</w:t>
            </w:r>
            <w:r w:rsidR="00C0013D">
              <w:t>ans c</w:t>
            </w:r>
            <w:r>
              <w:t xml:space="preserve">es parcs. La fréquentation a </w:t>
            </w:r>
            <w:r w:rsidR="00C0013D">
              <w:t xml:space="preserve">été </w:t>
            </w:r>
            <w:r>
              <w:t>d</w:t>
            </w:r>
            <w:r w:rsidR="00FD362E">
              <w:t>’</w:t>
            </w:r>
            <w:r>
              <w:t xml:space="preserve">environ 35 % </w:t>
            </w:r>
            <w:r w:rsidR="00C0013D">
              <w:t>inférieure à celle de </w:t>
            </w:r>
            <w:r>
              <w:t>2022, principalement en raison des annulations de vols et de voyages dues à la fumée et à la fermeture du parc en fin de saison. Celle-ci a été causée par l</w:t>
            </w:r>
            <w:r w:rsidR="00FD362E">
              <w:t>’</w:t>
            </w:r>
            <w:r>
              <w:t>aggravation de la situation des feux de forêt dans les Territoires du Nord-Ouest. De même, de nombreux voyages de surveillance et d</w:t>
            </w:r>
            <w:r w:rsidR="00FD362E">
              <w:t>’</w:t>
            </w:r>
            <w:r>
              <w:t xml:space="preserve">entretien des installations ont été annulés ou reportés (en en réduisant la portée) </w:t>
            </w:r>
            <w:r w:rsidR="001A3DFF">
              <w:t>jusqu</w:t>
            </w:r>
            <w:r w:rsidR="00FD362E">
              <w:t>’</w:t>
            </w:r>
            <w:r w:rsidR="001A3DFF">
              <w:t xml:space="preserve">à ce que </w:t>
            </w:r>
            <w:r>
              <w:t>la fumée s</w:t>
            </w:r>
            <w:r w:rsidR="00B3040F">
              <w:t xml:space="preserve">e soit </w:t>
            </w:r>
            <w:r>
              <w:t>dissipée et que l</w:t>
            </w:r>
            <w:r w:rsidR="00FD362E">
              <w:t>’</w:t>
            </w:r>
            <w:r>
              <w:t>ordre d</w:t>
            </w:r>
            <w:r w:rsidR="00FD362E">
              <w:t>’</w:t>
            </w:r>
            <w:r>
              <w:t xml:space="preserve">évacuation de Yellowknife </w:t>
            </w:r>
            <w:r w:rsidR="00B3040F">
              <w:t xml:space="preserve">soit </w:t>
            </w:r>
            <w:r>
              <w:t>levé.</w:t>
            </w:r>
          </w:p>
          <w:p w14:paraId="18EB94FA" w14:textId="799E6CE2" w:rsidR="00515D39" w:rsidRPr="00E46308" w:rsidRDefault="00515D39" w:rsidP="00E46308">
            <w:pPr>
              <w:ind w:left="0" w:firstLine="0"/>
              <w:rPr>
                <w:rFonts w:eastAsia="Verdana"/>
                <w:spacing w:val="1"/>
                <w:position w:val="-1"/>
                <w:szCs w:val="24"/>
              </w:rPr>
            </w:pPr>
          </w:p>
        </w:tc>
      </w:tr>
      <w:tr w:rsidR="0089273B" w:rsidRPr="0089273B" w14:paraId="46E9C7B1" w14:textId="77777777" w:rsidTr="004058DD">
        <w:tblPrEx>
          <w:tblCellMar>
            <w:top w:w="91" w:type="dxa"/>
          </w:tblCellMar>
        </w:tblPrEx>
        <w:trPr>
          <w:trHeight w:val="464"/>
        </w:trPr>
        <w:tc>
          <w:tcPr>
            <w:tcW w:w="9180" w:type="dxa"/>
            <w:shd w:val="clear" w:color="auto" w:fill="DEEAF6" w:themeFill="accent1" w:themeFillTint="33"/>
          </w:tcPr>
          <w:p w14:paraId="25263C73" w14:textId="2D3253B3" w:rsidR="0089273B" w:rsidRPr="0089273B" w:rsidRDefault="0089273B" w:rsidP="0089273B">
            <w:pPr>
              <w:pStyle w:val="Heading2"/>
              <w:ind w:left="0" w:firstLine="0"/>
              <w:jc w:val="center"/>
              <w:rPr>
                <w:rFonts w:eastAsia="Calibri"/>
              </w:rPr>
            </w:pPr>
            <w:bookmarkStart w:id="28" w:name="_Toc184297716"/>
            <w:r>
              <w:t>SASKATCHEWAN NORD (PARC NATIONAL BANFF)</w:t>
            </w:r>
            <w:bookmarkEnd w:id="28"/>
          </w:p>
        </w:tc>
      </w:tr>
      <w:tr w:rsidR="0089273B" w:rsidRPr="00EF5EDC" w14:paraId="0EBF39C3" w14:textId="77777777" w:rsidTr="0089273B">
        <w:tblPrEx>
          <w:tblCellMar>
            <w:top w:w="91" w:type="dxa"/>
          </w:tblCellMar>
        </w:tblPrEx>
        <w:trPr>
          <w:trHeight w:val="464"/>
        </w:trPr>
        <w:tc>
          <w:tcPr>
            <w:tcW w:w="9180" w:type="dxa"/>
            <w:shd w:val="clear" w:color="auto" w:fill="FFFFFF" w:themeFill="background1"/>
          </w:tcPr>
          <w:p w14:paraId="6C795D87" w14:textId="77777777" w:rsidR="00CA3855" w:rsidRDefault="00CA3855" w:rsidP="00F32E6D">
            <w:pPr>
              <w:ind w:left="0"/>
            </w:pPr>
          </w:p>
          <w:p w14:paraId="455D12FA" w14:textId="74615EF8" w:rsidR="00CF7B75" w:rsidRPr="0034642C" w:rsidRDefault="00CF7B75" w:rsidP="0034642C">
            <w:pPr>
              <w:spacing w:after="0"/>
              <w:ind w:left="0" w:right="-20"/>
              <w:rPr>
                <w:rFonts w:eastAsia="Verdana" w:cstheme="minorHAnsi"/>
                <w:szCs w:val="24"/>
              </w:rPr>
            </w:pPr>
            <w:r>
              <w:t>L</w:t>
            </w:r>
            <w:r w:rsidR="00FD362E">
              <w:t>’</w:t>
            </w:r>
            <w:r>
              <w:t>Agence Parcs Canada (Unité de gestion de Lake Louise, Yoho et Kootenay) rend compte chaque année à la Commission des rivières du patrimoine canadien de l</w:t>
            </w:r>
            <w:r w:rsidR="00FD362E">
              <w:t>’</w:t>
            </w:r>
            <w:r>
              <w:t>état des valeurs patrimoniales culturelles, naturelles et récréatives d</w:t>
            </w:r>
            <w:r w:rsidR="00FD362E">
              <w:t>’</w:t>
            </w:r>
            <w:r>
              <w:t>un tronçon de 48,5 km de la rivière Saskatchewan Nord dans le cadre d</w:t>
            </w:r>
            <w:r w:rsidR="00FD362E">
              <w:t>’</w:t>
            </w:r>
            <w:r>
              <w:t>un engagement à long terme à en faire une gestion durable de manière à garantir l</w:t>
            </w:r>
            <w:r w:rsidR="00FD362E">
              <w:t>’</w:t>
            </w:r>
            <w:r>
              <w:t xml:space="preserve">intégrité du bassin </w:t>
            </w:r>
            <w:r w:rsidR="007D09B4">
              <w:t>versant</w:t>
            </w:r>
            <w:r>
              <w:t xml:space="preserve"> désigné. Des orientations stratégiques antérieures de la Commission ont jeté les bases du programme, tandis que son plan stratégique</w:t>
            </w:r>
            <w:r w:rsidR="00E42123">
              <w:t> </w:t>
            </w:r>
            <w:r>
              <w:t>2020-2030 met l’accent sur l</w:t>
            </w:r>
            <w:r w:rsidR="00FD362E">
              <w:t>’</w:t>
            </w:r>
            <w:r>
              <w:t>officialisation d</w:t>
            </w:r>
            <w:r w:rsidR="00FD362E">
              <w:t>’</w:t>
            </w:r>
            <w:r>
              <w:t>un programme de surveillance collaboratif visant à préserver l</w:t>
            </w:r>
            <w:r w:rsidR="00FD362E">
              <w:t>’</w:t>
            </w:r>
            <w:r>
              <w:t>intégrité à long terme des valeurs ayant mené à la désignation. La fréquentation du bassin versant de la rivière Saskatchewan Nord a augmenté de manière régulière jusqu’à atteindre les niveaux d</w:t>
            </w:r>
            <w:r w:rsidR="003D5850">
              <w:t>’</w:t>
            </w:r>
            <w:r>
              <w:t>avant la pandémie de COVID.</w:t>
            </w:r>
          </w:p>
          <w:p w14:paraId="119EA8D2" w14:textId="6C0AB2DF" w:rsidR="0089273B" w:rsidRPr="0089273B" w:rsidRDefault="0089273B" w:rsidP="0034642C">
            <w:pPr>
              <w:ind w:left="0" w:firstLine="0"/>
            </w:pPr>
          </w:p>
        </w:tc>
      </w:tr>
      <w:tr w:rsidR="0076376C" w:rsidRPr="00EF5EDC" w14:paraId="3E81895E" w14:textId="77777777" w:rsidTr="0089273B">
        <w:tblPrEx>
          <w:tblCellMar>
            <w:top w:w="91" w:type="dxa"/>
          </w:tblCellMar>
        </w:tblPrEx>
        <w:trPr>
          <w:trHeight w:val="464"/>
        </w:trPr>
        <w:tc>
          <w:tcPr>
            <w:tcW w:w="9180" w:type="dxa"/>
            <w:shd w:val="clear" w:color="auto" w:fill="DEEAF6" w:themeFill="accent1" w:themeFillTint="33"/>
          </w:tcPr>
          <w:p w14:paraId="46D6EE52" w14:textId="3CFFA3E1" w:rsidR="0076376C" w:rsidRDefault="0076376C" w:rsidP="0089273B">
            <w:pPr>
              <w:pStyle w:val="Heading2"/>
              <w:ind w:left="0" w:firstLine="0"/>
              <w:jc w:val="center"/>
            </w:pPr>
            <w:bookmarkStart w:id="29" w:name="_Toc184297717"/>
            <w:r>
              <w:t>OUTAOUTAIS</w:t>
            </w:r>
            <w:bookmarkEnd w:id="29"/>
          </w:p>
        </w:tc>
      </w:tr>
      <w:tr w:rsidR="0076376C" w:rsidRPr="00EF5EDC" w14:paraId="62714702" w14:textId="77777777" w:rsidTr="0034642C">
        <w:tblPrEx>
          <w:tblCellMar>
            <w:top w:w="91" w:type="dxa"/>
          </w:tblCellMar>
        </w:tblPrEx>
        <w:trPr>
          <w:trHeight w:val="464"/>
        </w:trPr>
        <w:tc>
          <w:tcPr>
            <w:tcW w:w="9180" w:type="dxa"/>
            <w:shd w:val="clear" w:color="auto" w:fill="FFFFFF" w:themeFill="background1"/>
          </w:tcPr>
          <w:p w14:paraId="50D7F436" w14:textId="77777777" w:rsidR="00B46F45" w:rsidRDefault="00B46F45" w:rsidP="0034642C">
            <w:pPr>
              <w:ind w:left="0" w:firstLine="0"/>
            </w:pPr>
          </w:p>
          <w:p w14:paraId="48F2B93E" w14:textId="67AE56FC" w:rsidR="0076376C" w:rsidRDefault="0034642C" w:rsidP="0034642C">
            <w:pPr>
              <w:ind w:left="0" w:firstLine="0"/>
            </w:pPr>
            <w:r>
              <w:t>Aucun rapport n</w:t>
            </w:r>
            <w:r w:rsidR="003D5850">
              <w:t>’</w:t>
            </w:r>
            <w:r>
              <w:t xml:space="preserve">a été présenté. </w:t>
            </w:r>
          </w:p>
          <w:p w14:paraId="0A7FC33A" w14:textId="77777777" w:rsidR="0076376C" w:rsidRPr="0076376C" w:rsidRDefault="0076376C" w:rsidP="0034642C"/>
        </w:tc>
      </w:tr>
      <w:tr w:rsidR="0089273B" w:rsidRPr="00EF5EDC" w14:paraId="1591E127" w14:textId="77777777" w:rsidTr="0089273B">
        <w:tblPrEx>
          <w:tblCellMar>
            <w:top w:w="91" w:type="dxa"/>
          </w:tblCellMar>
        </w:tblPrEx>
        <w:trPr>
          <w:trHeight w:val="464"/>
        </w:trPr>
        <w:tc>
          <w:tcPr>
            <w:tcW w:w="9180" w:type="dxa"/>
            <w:shd w:val="clear" w:color="auto" w:fill="DEEAF6" w:themeFill="accent1" w:themeFillTint="33"/>
          </w:tcPr>
          <w:p w14:paraId="54AD408A" w14:textId="481ACBE7" w:rsidR="0089273B" w:rsidRPr="0089273B" w:rsidRDefault="0089273B" w:rsidP="0089273B">
            <w:pPr>
              <w:pStyle w:val="Heading2"/>
              <w:ind w:left="0" w:firstLine="0"/>
              <w:jc w:val="center"/>
              <w:rPr>
                <w:rFonts w:ascii="Calibri" w:eastAsia="Calibri" w:hAnsi="Calibri" w:cs="Calibri"/>
                <w:color w:val="000000"/>
                <w:sz w:val="24"/>
                <w:szCs w:val="22"/>
              </w:rPr>
            </w:pPr>
            <w:bookmarkStart w:id="30" w:name="_Toc184297718"/>
            <w:r>
              <w:t>QUW</w:t>
            </w:r>
            <w:r w:rsidR="003D5850">
              <w:t>’</w:t>
            </w:r>
            <w:r>
              <w:t>UTSUN | COWICHAN</w:t>
            </w:r>
            <w:bookmarkEnd w:id="30"/>
          </w:p>
        </w:tc>
      </w:tr>
      <w:tr w:rsidR="0089273B" w:rsidRPr="0089273B" w14:paraId="321F5FA4" w14:textId="77777777" w:rsidTr="0089273B">
        <w:tblPrEx>
          <w:tblCellMar>
            <w:top w:w="91" w:type="dxa"/>
          </w:tblCellMar>
        </w:tblPrEx>
        <w:trPr>
          <w:trHeight w:val="464"/>
        </w:trPr>
        <w:tc>
          <w:tcPr>
            <w:tcW w:w="9180" w:type="dxa"/>
            <w:shd w:val="clear" w:color="auto" w:fill="FFFFFF" w:themeFill="background1"/>
          </w:tcPr>
          <w:p w14:paraId="65F38C8C" w14:textId="77777777" w:rsidR="00510A18" w:rsidRDefault="00510A18" w:rsidP="00F32E6D">
            <w:pPr>
              <w:ind w:left="0"/>
            </w:pPr>
          </w:p>
          <w:p w14:paraId="6B26B278" w14:textId="6164DD5D" w:rsidR="00510A18" w:rsidRDefault="00510A18" w:rsidP="00510A18">
            <w:pPr>
              <w:ind w:left="0"/>
            </w:pPr>
            <w:r>
              <w:t>La rivière Quw'utsun Sta'lo', ou Cowichan, subit toujours les conséquences du réchauffement de l</w:t>
            </w:r>
            <w:r w:rsidR="003D5850">
              <w:t>’</w:t>
            </w:r>
            <w:r>
              <w:t>eau et des changements climatiques le long de son chenal de 47 km. Le niveau du cours d’eau a été peu élevé et, dans certains secteurs, les conditions se sont dégradées</w:t>
            </w:r>
            <w:r w:rsidR="00F72D30">
              <w:t xml:space="preserve">. L’eau avait </w:t>
            </w:r>
            <w:r>
              <w:t>une faible teneur en oxygène et un pH élevé, ce qui a eu un impact négatif sur les espèces de saumon et de truite.</w:t>
            </w:r>
          </w:p>
          <w:p w14:paraId="187741AE" w14:textId="768FC540" w:rsidR="0089273B" w:rsidRPr="0089273B" w:rsidRDefault="0089273B" w:rsidP="0034642C">
            <w:pPr>
              <w:ind w:left="0"/>
            </w:pPr>
          </w:p>
        </w:tc>
      </w:tr>
      <w:tr w:rsidR="0089273B" w:rsidRPr="00EF5EDC" w14:paraId="0CE2BFF0" w14:textId="77777777" w:rsidTr="0089273B">
        <w:tblPrEx>
          <w:tblCellMar>
            <w:top w:w="91" w:type="dxa"/>
          </w:tblCellMar>
        </w:tblPrEx>
        <w:trPr>
          <w:trHeight w:val="464"/>
        </w:trPr>
        <w:tc>
          <w:tcPr>
            <w:tcW w:w="9180" w:type="dxa"/>
            <w:shd w:val="clear" w:color="auto" w:fill="DEEAF6" w:themeFill="accent1" w:themeFillTint="33"/>
          </w:tcPr>
          <w:p w14:paraId="5F99085D" w14:textId="1D5CF70B" w:rsidR="0089273B" w:rsidRPr="0089273B" w:rsidRDefault="0089273B" w:rsidP="0089273B">
            <w:pPr>
              <w:pStyle w:val="Heading2"/>
              <w:ind w:left="0" w:firstLine="0"/>
              <w:jc w:val="center"/>
              <w:rPr>
                <w:rFonts w:ascii="Calibri" w:eastAsia="Calibri" w:hAnsi="Calibri" w:cs="Calibri"/>
                <w:color w:val="000000"/>
                <w:sz w:val="24"/>
                <w:szCs w:val="22"/>
              </w:rPr>
            </w:pPr>
            <w:bookmarkStart w:id="31" w:name="_Toc184297719"/>
            <w:r>
              <w:t>ROUGE</w:t>
            </w:r>
            <w:bookmarkEnd w:id="31"/>
          </w:p>
        </w:tc>
      </w:tr>
      <w:tr w:rsidR="0089273B" w:rsidRPr="0089273B" w14:paraId="3DDE249E" w14:textId="77777777" w:rsidTr="0089273B">
        <w:tblPrEx>
          <w:tblCellMar>
            <w:top w:w="91" w:type="dxa"/>
          </w:tblCellMar>
        </w:tblPrEx>
        <w:trPr>
          <w:trHeight w:val="464"/>
        </w:trPr>
        <w:tc>
          <w:tcPr>
            <w:tcW w:w="9180" w:type="dxa"/>
            <w:shd w:val="clear" w:color="auto" w:fill="FFFFFF" w:themeFill="background1"/>
          </w:tcPr>
          <w:p w14:paraId="7BF1B819" w14:textId="77777777" w:rsidR="00510A18" w:rsidRDefault="00510A18" w:rsidP="0089273B">
            <w:pPr>
              <w:ind w:left="0" w:firstLine="0"/>
            </w:pPr>
          </w:p>
          <w:p w14:paraId="0AD47441" w14:textId="4D1611E6" w:rsidR="005B6B29" w:rsidRDefault="005B6B29" w:rsidP="00FF0F9C">
            <w:pPr>
              <w:ind w:left="0" w:firstLine="0"/>
              <w:rPr>
                <w:rFonts w:eastAsia="Times New Roman" w:cs="Times New Roman"/>
                <w:b/>
                <w:color w:val="auto"/>
              </w:rPr>
            </w:pPr>
            <w:r>
              <w:t>Aucun changement majeur n</w:t>
            </w:r>
            <w:r w:rsidR="003D5850">
              <w:t>’</w:t>
            </w:r>
            <w:r>
              <w:t>a été observé dans le couloir de la rivière Rouge en 2023, et diverses études sur des poissons, la surveillance des espèces sauvages et la qualité de l</w:t>
            </w:r>
            <w:r w:rsidR="003D5850">
              <w:t>’</w:t>
            </w:r>
            <w:r>
              <w:t xml:space="preserve">eau se sont poursuivies. Des travaux importants ont été </w:t>
            </w:r>
            <w:r w:rsidR="00E92DAB">
              <w:t xml:space="preserve">menés </w:t>
            </w:r>
            <w:r>
              <w:t>dans les municipalités et les parcs provinciaux le long du couloir fluvial afin d</w:t>
            </w:r>
            <w:r w:rsidR="003D5850">
              <w:t>’</w:t>
            </w:r>
            <w:r>
              <w:t>améliorer l</w:t>
            </w:r>
            <w:r w:rsidR="003D5850">
              <w:t>’</w:t>
            </w:r>
            <w:r>
              <w:t>accès à l’eau et les installations de loisirs pour les résidents du Manitoba et les visiteurs.</w:t>
            </w:r>
          </w:p>
          <w:p w14:paraId="71EA2018" w14:textId="03CAE80F" w:rsidR="0089273B" w:rsidRPr="0089273B" w:rsidRDefault="0089273B" w:rsidP="004A11D5">
            <w:pPr>
              <w:ind w:left="0" w:firstLine="0"/>
            </w:pPr>
          </w:p>
        </w:tc>
      </w:tr>
      <w:tr w:rsidR="0089273B" w:rsidRPr="0089273B" w14:paraId="5D42CC46" w14:textId="77777777" w:rsidTr="0089273B">
        <w:tblPrEx>
          <w:tblCellMar>
            <w:top w:w="91" w:type="dxa"/>
          </w:tblCellMar>
        </w:tblPrEx>
        <w:trPr>
          <w:trHeight w:val="464"/>
        </w:trPr>
        <w:tc>
          <w:tcPr>
            <w:tcW w:w="9180" w:type="dxa"/>
            <w:shd w:val="clear" w:color="auto" w:fill="DEEAF6" w:themeFill="accent1" w:themeFillTint="33"/>
          </w:tcPr>
          <w:p w14:paraId="3999D30F" w14:textId="262F1967" w:rsidR="0089273B" w:rsidRPr="00312E54" w:rsidRDefault="0089273B" w:rsidP="0089273B">
            <w:pPr>
              <w:pStyle w:val="Heading2"/>
              <w:ind w:left="0" w:firstLine="0"/>
              <w:jc w:val="center"/>
            </w:pPr>
            <w:bookmarkStart w:id="32" w:name="_Toc184297720"/>
            <w:r>
              <w:t>RIDEAU</w:t>
            </w:r>
            <w:bookmarkEnd w:id="32"/>
          </w:p>
        </w:tc>
      </w:tr>
      <w:tr w:rsidR="0089273B" w:rsidRPr="0089273B" w14:paraId="2C6C577C" w14:textId="77777777" w:rsidTr="0089273B">
        <w:tblPrEx>
          <w:tblCellMar>
            <w:top w:w="91" w:type="dxa"/>
          </w:tblCellMar>
        </w:tblPrEx>
        <w:trPr>
          <w:trHeight w:val="464"/>
        </w:trPr>
        <w:tc>
          <w:tcPr>
            <w:tcW w:w="9180" w:type="dxa"/>
            <w:shd w:val="clear" w:color="auto" w:fill="FFFFFF" w:themeFill="background1"/>
          </w:tcPr>
          <w:p w14:paraId="1CA09D81" w14:textId="77777777" w:rsidR="00BD4B5B" w:rsidRDefault="00BD4B5B" w:rsidP="0089273B">
            <w:pPr>
              <w:ind w:left="0" w:firstLine="0"/>
            </w:pPr>
          </w:p>
          <w:p w14:paraId="0D431208" w14:textId="4F1F16B4" w:rsidR="00BD4B5B" w:rsidRDefault="00BD4B5B" w:rsidP="00FF0F9C">
            <w:pPr>
              <w:ind w:left="0" w:firstLine="0"/>
              <w:rPr>
                <w:b/>
              </w:rPr>
            </w:pPr>
            <w:r>
              <w:t>En décembre 2022, le Plan directeur des lieux historiques nationaux du Canal-Rideau et du Blockhaus-de</w:t>
            </w:r>
            <w:r>
              <w:noBreakHyphen/>
              <w:t>Merrickville a été déposé au Parlement par le ministre de l</w:t>
            </w:r>
            <w:r w:rsidR="003D5850">
              <w:t>’</w:t>
            </w:r>
            <w:r>
              <w:t>Environnement et du Changement climatique. Il servira de document d</w:t>
            </w:r>
            <w:r w:rsidR="003D5850">
              <w:t>’</w:t>
            </w:r>
            <w:r>
              <w:t>orientation stratégique pour la voie navigable au cours des dix prochaines années. Au cours de la période</w:t>
            </w:r>
            <w:r w:rsidR="00E42123">
              <w:t> </w:t>
            </w:r>
            <w:r>
              <w:t>2022-2023, des travaux de conservation des ressources culturelles se sont poursuivis, notamment sur la maçonnerie des écluses et un pont tournant en bois, et des études sur le paysage culturel ont été entreprises</w:t>
            </w:r>
            <w:r w:rsidR="00D20587">
              <w:t>.</w:t>
            </w:r>
            <w:r>
              <w:t xml:space="preserve"> La protection de l</w:t>
            </w:r>
            <w:r w:rsidR="003D5850">
              <w:t>’</w:t>
            </w:r>
            <w:r>
              <w:t>écosystème d</w:t>
            </w:r>
            <w:r w:rsidR="003D5850">
              <w:t>’</w:t>
            </w:r>
            <w:r>
              <w:t xml:space="preserve">eau douce s’est poursuivie grâce aux </w:t>
            </w:r>
            <w:r w:rsidR="00D20587">
              <w:t>recherches</w:t>
            </w:r>
            <w:r>
              <w:t xml:space="preserve"> financées par le Conseil de recherches en sciences naturelles et en génie du Canada, à un plan d</w:t>
            </w:r>
            <w:r w:rsidR="003D5850">
              <w:t>’</w:t>
            </w:r>
            <w:r>
              <w:t>action pour des espèces multiples et à des évaluations du littoral. Enfin, des visiteurs ont été accueillis au lieu historique, où on leur a proposé de passer la nuit dans des hébergements historiques ou des tentes Otentik, et d’apprendre à pagayer.</w:t>
            </w:r>
          </w:p>
          <w:p w14:paraId="66A393DC" w14:textId="77EE57A9" w:rsidR="0089273B" w:rsidRPr="00312E54" w:rsidRDefault="0089273B" w:rsidP="004A11D5">
            <w:pPr>
              <w:ind w:left="0" w:firstLine="0"/>
            </w:pPr>
          </w:p>
        </w:tc>
      </w:tr>
      <w:tr w:rsidR="005606DC" w:rsidRPr="0089273B" w14:paraId="37AAC002" w14:textId="77777777" w:rsidTr="0089273B">
        <w:tblPrEx>
          <w:tblCellMar>
            <w:top w:w="91" w:type="dxa"/>
          </w:tblCellMar>
        </w:tblPrEx>
        <w:trPr>
          <w:trHeight w:val="464"/>
        </w:trPr>
        <w:tc>
          <w:tcPr>
            <w:tcW w:w="9180" w:type="dxa"/>
            <w:shd w:val="clear" w:color="auto" w:fill="DEEAF6" w:themeFill="accent1" w:themeFillTint="33"/>
          </w:tcPr>
          <w:p w14:paraId="58EA82DA" w14:textId="799FBB2A" w:rsidR="005606DC" w:rsidRPr="0089273B" w:rsidRDefault="005606DC" w:rsidP="0089273B">
            <w:pPr>
              <w:pStyle w:val="Heading2"/>
              <w:ind w:left="0" w:firstLine="0"/>
              <w:jc w:val="center"/>
              <w:rPr>
                <w:rFonts w:eastAsia="Calibri"/>
              </w:rPr>
            </w:pPr>
            <w:bookmarkStart w:id="33" w:name="_Toc184297721"/>
            <w:r>
              <w:t>SHELBURNE</w:t>
            </w:r>
            <w:bookmarkEnd w:id="33"/>
          </w:p>
        </w:tc>
      </w:tr>
      <w:tr w:rsidR="005606DC" w:rsidRPr="0089273B" w14:paraId="68389084" w14:textId="77777777" w:rsidTr="00FF0F9C">
        <w:tblPrEx>
          <w:tblCellMar>
            <w:top w:w="91" w:type="dxa"/>
          </w:tblCellMar>
        </w:tblPrEx>
        <w:trPr>
          <w:trHeight w:val="464"/>
        </w:trPr>
        <w:tc>
          <w:tcPr>
            <w:tcW w:w="9180" w:type="dxa"/>
            <w:shd w:val="clear" w:color="auto" w:fill="FFFFFF" w:themeFill="background1"/>
          </w:tcPr>
          <w:p w14:paraId="4B9B0E1B" w14:textId="77777777" w:rsidR="00D20587" w:rsidRDefault="00D20587" w:rsidP="00FF0F9C">
            <w:pPr>
              <w:ind w:left="0" w:firstLine="0"/>
            </w:pPr>
          </w:p>
          <w:p w14:paraId="1AED372D" w14:textId="331C90B0" w:rsidR="005606DC" w:rsidRDefault="00FF0F9C" w:rsidP="00FF0F9C">
            <w:pPr>
              <w:ind w:left="0" w:firstLine="0"/>
            </w:pPr>
            <w:r>
              <w:t>Aucun rapport n</w:t>
            </w:r>
            <w:r w:rsidR="003D5850">
              <w:t>’</w:t>
            </w:r>
            <w:r>
              <w:t xml:space="preserve">a été présenté. </w:t>
            </w:r>
          </w:p>
          <w:p w14:paraId="2C94EC43" w14:textId="77777777" w:rsidR="005606DC" w:rsidRPr="005606DC" w:rsidRDefault="005606DC" w:rsidP="00FF0F9C"/>
        </w:tc>
      </w:tr>
      <w:tr w:rsidR="005606DC" w:rsidRPr="0089273B" w14:paraId="7B62E8F2" w14:textId="77777777" w:rsidTr="0089273B">
        <w:tblPrEx>
          <w:tblCellMar>
            <w:top w:w="91" w:type="dxa"/>
          </w:tblCellMar>
        </w:tblPrEx>
        <w:trPr>
          <w:trHeight w:val="464"/>
        </w:trPr>
        <w:tc>
          <w:tcPr>
            <w:tcW w:w="9180" w:type="dxa"/>
            <w:shd w:val="clear" w:color="auto" w:fill="DEEAF6" w:themeFill="accent1" w:themeFillTint="33"/>
          </w:tcPr>
          <w:p w14:paraId="1450D0B2" w14:textId="59A4FAC8" w:rsidR="005606DC" w:rsidRPr="0089273B" w:rsidRDefault="005606DC" w:rsidP="0089273B">
            <w:pPr>
              <w:pStyle w:val="Heading2"/>
              <w:ind w:left="0" w:firstLine="0"/>
              <w:jc w:val="center"/>
              <w:rPr>
                <w:rFonts w:eastAsia="Calibri"/>
              </w:rPr>
            </w:pPr>
            <w:bookmarkStart w:id="34" w:name="_Toc184297722"/>
            <w:r>
              <w:t>SAINTE-CROIX</w:t>
            </w:r>
            <w:bookmarkEnd w:id="34"/>
          </w:p>
        </w:tc>
      </w:tr>
      <w:tr w:rsidR="005606DC" w:rsidRPr="0089273B" w14:paraId="4641F7C9" w14:textId="77777777" w:rsidTr="00FF0F9C">
        <w:tblPrEx>
          <w:tblCellMar>
            <w:top w:w="91" w:type="dxa"/>
          </w:tblCellMar>
        </w:tblPrEx>
        <w:trPr>
          <w:trHeight w:val="464"/>
        </w:trPr>
        <w:tc>
          <w:tcPr>
            <w:tcW w:w="9180" w:type="dxa"/>
            <w:shd w:val="clear" w:color="auto" w:fill="FFFFFF" w:themeFill="background1"/>
          </w:tcPr>
          <w:p w14:paraId="24A59E68" w14:textId="77777777" w:rsidR="005606DC" w:rsidRDefault="005606DC" w:rsidP="0089273B">
            <w:pPr>
              <w:pStyle w:val="Heading2"/>
              <w:ind w:left="0" w:firstLine="0"/>
              <w:jc w:val="center"/>
              <w:rPr>
                <w:rFonts w:eastAsia="Calibri"/>
              </w:rPr>
            </w:pPr>
          </w:p>
          <w:p w14:paraId="5B8C7F66" w14:textId="6110FB50" w:rsidR="005606DC" w:rsidRDefault="005606DC" w:rsidP="00FF0F9C">
            <w:pPr>
              <w:ind w:left="0" w:firstLine="0"/>
            </w:pPr>
            <w:r>
              <w:t xml:space="preserve">L’année 2023 a marqué le début du projet d’enlèvement du barrage de Milltown. On a également intensifié les activités de sensibilisation sur les travaux de restauration </w:t>
            </w:r>
            <w:r w:rsidR="003925E4">
              <w:t xml:space="preserve">en cours </w:t>
            </w:r>
            <w:r>
              <w:t>pour les poissons anadromes, menés par la tribu des Passamaquoddy en collaboration avec des organismes fédéraux et d</w:t>
            </w:r>
            <w:r w:rsidR="003D5850">
              <w:t>’</w:t>
            </w:r>
            <w:r>
              <w:t>État des États-Unis et du Canada. Des efforts ont été faits pour améliorer l</w:t>
            </w:r>
            <w:r w:rsidR="003D5850">
              <w:t>’</w:t>
            </w:r>
            <w:r>
              <w:t xml:space="preserve">accès </w:t>
            </w:r>
            <w:r w:rsidR="00A76B80">
              <w:t xml:space="preserve">à des fins de loisirs </w:t>
            </w:r>
            <w:r>
              <w:t>au couloir désigné par la Commission et pour consolider la réputation de la rivière Sainte-Croix comme l</w:t>
            </w:r>
            <w:r w:rsidR="003D5850">
              <w:t>’</w:t>
            </w:r>
            <w:r>
              <w:t>une des meilleures destinations sur la côte est pour les loisirs de plein air en milieu nautique.</w:t>
            </w:r>
          </w:p>
          <w:p w14:paraId="1C8F732B" w14:textId="77777777" w:rsidR="005606DC" w:rsidRPr="005606DC" w:rsidRDefault="005606DC" w:rsidP="00FF0F9C"/>
        </w:tc>
      </w:tr>
      <w:tr w:rsidR="005606DC" w:rsidRPr="0089273B" w14:paraId="5A98A271" w14:textId="77777777" w:rsidTr="0089273B">
        <w:tblPrEx>
          <w:tblCellMar>
            <w:top w:w="91" w:type="dxa"/>
          </w:tblCellMar>
        </w:tblPrEx>
        <w:trPr>
          <w:trHeight w:val="464"/>
        </w:trPr>
        <w:tc>
          <w:tcPr>
            <w:tcW w:w="9180" w:type="dxa"/>
            <w:shd w:val="clear" w:color="auto" w:fill="DEEAF6" w:themeFill="accent1" w:themeFillTint="33"/>
          </w:tcPr>
          <w:p w14:paraId="7A925375" w14:textId="43D9E33F" w:rsidR="005606DC" w:rsidRPr="0089273B" w:rsidRDefault="005606DC" w:rsidP="0089273B">
            <w:pPr>
              <w:pStyle w:val="Heading2"/>
              <w:ind w:left="0" w:firstLine="0"/>
              <w:jc w:val="center"/>
              <w:rPr>
                <w:rFonts w:eastAsia="Calibri"/>
              </w:rPr>
            </w:pPr>
            <w:bookmarkStart w:id="35" w:name="_Toc184297723"/>
            <w:r>
              <w:t>SAINT-JEAN</w:t>
            </w:r>
            <w:bookmarkEnd w:id="35"/>
          </w:p>
        </w:tc>
      </w:tr>
      <w:tr w:rsidR="005606DC" w:rsidRPr="0089273B" w14:paraId="13D0AC16" w14:textId="77777777" w:rsidTr="00FF0F9C">
        <w:tblPrEx>
          <w:tblCellMar>
            <w:top w:w="91" w:type="dxa"/>
          </w:tblCellMar>
        </w:tblPrEx>
        <w:trPr>
          <w:trHeight w:val="464"/>
        </w:trPr>
        <w:tc>
          <w:tcPr>
            <w:tcW w:w="9180" w:type="dxa"/>
            <w:shd w:val="clear" w:color="auto" w:fill="FFFFFF" w:themeFill="background1"/>
          </w:tcPr>
          <w:p w14:paraId="0E94D9D5" w14:textId="77777777" w:rsidR="005606DC" w:rsidRDefault="005606DC" w:rsidP="0089273B">
            <w:pPr>
              <w:pStyle w:val="Heading2"/>
              <w:ind w:left="0" w:firstLine="0"/>
              <w:jc w:val="center"/>
              <w:rPr>
                <w:rFonts w:eastAsia="Calibri"/>
              </w:rPr>
            </w:pPr>
          </w:p>
          <w:p w14:paraId="39F01C6C" w14:textId="48286728" w:rsidR="005606DC" w:rsidRPr="00FF0F9C" w:rsidRDefault="00EA531C" w:rsidP="00FF0F9C">
            <w:pPr>
              <w:pStyle w:val="Standard"/>
              <w:rPr>
                <w:rFonts w:asciiTheme="minorHAnsi" w:hAnsiTheme="minorHAnsi" w:cstheme="minorHAnsi"/>
              </w:rPr>
            </w:pPr>
            <w:r>
              <w:rPr>
                <w:rFonts w:asciiTheme="minorHAnsi" w:hAnsiTheme="minorHAnsi"/>
              </w:rPr>
              <w:t>L</w:t>
            </w:r>
            <w:r w:rsidR="003D5850">
              <w:rPr>
                <w:rFonts w:asciiTheme="minorHAnsi" w:hAnsiTheme="minorHAnsi"/>
              </w:rPr>
              <w:t>’</w:t>
            </w:r>
            <w:r>
              <w:rPr>
                <w:rFonts w:asciiTheme="minorHAnsi" w:hAnsiTheme="minorHAnsi"/>
              </w:rPr>
              <w:t>accès au fleuve est demeuré l</w:t>
            </w:r>
            <w:r w:rsidR="003D5850">
              <w:rPr>
                <w:rFonts w:asciiTheme="minorHAnsi" w:hAnsiTheme="minorHAnsi"/>
              </w:rPr>
              <w:t>’</w:t>
            </w:r>
            <w:r>
              <w:rPr>
                <w:rFonts w:asciiTheme="minorHAnsi" w:hAnsiTheme="minorHAnsi"/>
              </w:rPr>
              <w:t>objectif principal de la Société du fleuve Saint-Jean en 2023. Quatre quais de l</w:t>
            </w:r>
            <w:r w:rsidR="003D5850">
              <w:rPr>
                <w:rFonts w:asciiTheme="minorHAnsi" w:hAnsiTheme="minorHAnsi"/>
              </w:rPr>
              <w:t>’</w:t>
            </w:r>
            <w:r>
              <w:rPr>
                <w:rFonts w:asciiTheme="minorHAnsi" w:hAnsiTheme="minorHAnsi"/>
              </w:rPr>
              <w:t xml:space="preserve">entité provinciale Valley Waters ont été presque entièrement réparés grâce à des </w:t>
            </w:r>
            <w:r w:rsidR="00A76B80">
              <w:rPr>
                <w:rFonts w:asciiTheme="minorHAnsi" w:hAnsiTheme="minorHAnsi"/>
              </w:rPr>
              <w:t>sommes fournies</w:t>
            </w:r>
            <w:r>
              <w:rPr>
                <w:rFonts w:asciiTheme="minorHAnsi" w:hAnsiTheme="minorHAnsi"/>
              </w:rPr>
              <w:t xml:space="preserve"> par les gouvernements fédéral et provincial dans le cadre du Fonds pour le développement des collectivités du Canada. La Société a réussi à obtenir une prolongation jusqu’en 2025 du délai d’utilisation des fonds accordés. Les 850</w:t>
            </w:r>
            <w:r w:rsidR="00E42123">
              <w:rPr>
                <w:rFonts w:asciiTheme="minorHAnsi" w:hAnsiTheme="minorHAnsi"/>
              </w:rPr>
              <w:t> </w:t>
            </w:r>
            <w:r>
              <w:rPr>
                <w:rFonts w:asciiTheme="minorHAnsi" w:hAnsiTheme="minorHAnsi"/>
              </w:rPr>
              <w:t>000 $ restants seront utilisés à bon escient durant la saison</w:t>
            </w:r>
            <w:r w:rsidR="00E42123">
              <w:rPr>
                <w:rFonts w:asciiTheme="minorHAnsi" w:hAnsiTheme="minorHAnsi"/>
              </w:rPr>
              <w:t> </w:t>
            </w:r>
            <w:r>
              <w:rPr>
                <w:rFonts w:asciiTheme="minorHAnsi" w:hAnsiTheme="minorHAnsi"/>
              </w:rPr>
              <w:t>2024.</w:t>
            </w:r>
          </w:p>
          <w:p w14:paraId="2C9CBB78" w14:textId="77777777" w:rsidR="005606DC" w:rsidRPr="005606DC" w:rsidRDefault="005606DC" w:rsidP="00FF0F9C"/>
        </w:tc>
      </w:tr>
      <w:tr w:rsidR="0089273B" w:rsidRPr="0089273B" w14:paraId="53A83E08" w14:textId="77777777" w:rsidTr="0089273B">
        <w:tblPrEx>
          <w:tblCellMar>
            <w:top w:w="91" w:type="dxa"/>
          </w:tblCellMar>
        </w:tblPrEx>
        <w:trPr>
          <w:trHeight w:val="464"/>
        </w:trPr>
        <w:tc>
          <w:tcPr>
            <w:tcW w:w="9180" w:type="dxa"/>
            <w:shd w:val="clear" w:color="auto" w:fill="DEEAF6" w:themeFill="accent1" w:themeFillTint="33"/>
          </w:tcPr>
          <w:p w14:paraId="35FD5B67" w14:textId="1359EAA6" w:rsidR="0089273B" w:rsidRPr="00450191" w:rsidRDefault="0089273B" w:rsidP="0089273B">
            <w:pPr>
              <w:pStyle w:val="Heading2"/>
              <w:ind w:left="0" w:firstLine="0"/>
              <w:jc w:val="center"/>
            </w:pPr>
            <w:bookmarkStart w:id="36" w:name="_Toc184297724"/>
            <w:r>
              <w:t>STE-MARIE</w:t>
            </w:r>
            <w:bookmarkEnd w:id="36"/>
          </w:p>
        </w:tc>
      </w:tr>
      <w:tr w:rsidR="0089273B" w:rsidRPr="0089273B" w14:paraId="2D23CCF7" w14:textId="77777777" w:rsidTr="0089273B">
        <w:tblPrEx>
          <w:tblCellMar>
            <w:top w:w="91" w:type="dxa"/>
          </w:tblCellMar>
        </w:tblPrEx>
        <w:trPr>
          <w:trHeight w:val="464"/>
        </w:trPr>
        <w:tc>
          <w:tcPr>
            <w:tcW w:w="9180" w:type="dxa"/>
            <w:shd w:val="clear" w:color="auto" w:fill="FFFFFF" w:themeFill="background1"/>
          </w:tcPr>
          <w:p w14:paraId="6F0E2532" w14:textId="77777777" w:rsidR="00EA531C" w:rsidRDefault="00EA531C" w:rsidP="0089273B">
            <w:pPr>
              <w:ind w:left="0" w:firstLine="0"/>
            </w:pPr>
          </w:p>
          <w:p w14:paraId="6B04308C" w14:textId="5063059A" w:rsidR="00EA531C" w:rsidRDefault="00EA531C" w:rsidP="0089273B">
            <w:pPr>
              <w:ind w:left="0" w:firstLine="0"/>
            </w:pPr>
            <w:r>
              <w:t>La rivière Ste-Marie, longue de 125 km, sépare les villes jumelles de Sault Ste. Marie en Ontario et de Sault Ste. Marie au Michigan. La rivière assure la subsistance d’une communauté diversifiée de poissons et d</w:t>
            </w:r>
            <w:r w:rsidR="003D5850">
              <w:t>’</w:t>
            </w:r>
            <w:r>
              <w:t>animaux sauvages, en plus d’attirer les amateurs de loisirs. En 2023, des chercheurs de l</w:t>
            </w:r>
            <w:r w:rsidR="003D5850">
              <w:t>’</w:t>
            </w:r>
            <w:r>
              <w:t xml:space="preserve">Université Algoma ont terminé un projet de mise en valeur des affluents et une enquête sur la consommation </w:t>
            </w:r>
            <w:r w:rsidR="00C31D0D">
              <w:t xml:space="preserve">communautaire </w:t>
            </w:r>
            <w:r>
              <w:t>de poisson. Le statut de la rivière est passé d’«</w:t>
            </w:r>
            <w:r w:rsidR="003D5850">
              <w:t> </w:t>
            </w:r>
            <w:r>
              <w:t>altération des utilisations bénéfiques</w:t>
            </w:r>
            <w:r w:rsidR="003D5850">
              <w:t> </w:t>
            </w:r>
            <w:r>
              <w:t>» à «</w:t>
            </w:r>
            <w:r w:rsidR="003D5850">
              <w:t> </w:t>
            </w:r>
            <w:r>
              <w:t>non altéré</w:t>
            </w:r>
            <w:r w:rsidR="003D5850">
              <w:t> </w:t>
            </w:r>
            <w:r>
              <w:t>», et la société Algoma Steel a entrepris un projet d</w:t>
            </w:r>
            <w:r w:rsidR="003D5850">
              <w:t>’</w:t>
            </w:r>
            <w:r>
              <w:t>écologisation de son site sur quatre ans.</w:t>
            </w:r>
          </w:p>
          <w:p w14:paraId="78609AE9" w14:textId="7B8BAD88" w:rsidR="0089273B" w:rsidRPr="00450191" w:rsidRDefault="0089273B" w:rsidP="004A11D5">
            <w:pPr>
              <w:ind w:left="0" w:firstLine="0"/>
            </w:pPr>
          </w:p>
        </w:tc>
      </w:tr>
    </w:tbl>
    <w:p w14:paraId="53259691" w14:textId="77777777" w:rsidR="00E46308" w:rsidRDefault="00E46308">
      <w:r>
        <w:br w:type="page"/>
      </w:r>
    </w:p>
    <w:tbl>
      <w:tblPr>
        <w:tblStyle w:val="TableGrid"/>
        <w:tblW w:w="9180" w:type="dxa"/>
        <w:tblInd w:w="25" w:type="dxa"/>
        <w:tblCellMar>
          <w:top w:w="91" w:type="dxa"/>
          <w:left w:w="335" w:type="dxa"/>
          <w:right w:w="115" w:type="dxa"/>
        </w:tblCellMar>
        <w:tblLook w:val="04A0" w:firstRow="1" w:lastRow="0" w:firstColumn="1" w:lastColumn="0" w:noHBand="0" w:noVBand="1"/>
      </w:tblPr>
      <w:tblGrid>
        <w:gridCol w:w="9180"/>
      </w:tblGrid>
      <w:tr w:rsidR="0089273B" w:rsidRPr="0089273B" w14:paraId="5FEA2CBA" w14:textId="77777777" w:rsidTr="0089273B">
        <w:trPr>
          <w:trHeight w:val="464"/>
        </w:trPr>
        <w:tc>
          <w:tcPr>
            <w:tcW w:w="9180" w:type="dxa"/>
            <w:shd w:val="clear" w:color="auto" w:fill="DEEAF6" w:themeFill="accent1" w:themeFillTint="33"/>
          </w:tcPr>
          <w:p w14:paraId="56A05503" w14:textId="5DAD0F02" w:rsidR="0089273B" w:rsidRPr="00747D03" w:rsidRDefault="0089273B" w:rsidP="0089273B">
            <w:pPr>
              <w:pStyle w:val="Heading2"/>
              <w:ind w:left="0" w:firstLine="0"/>
              <w:jc w:val="center"/>
            </w:pPr>
            <w:bookmarkStart w:id="37" w:name="_Toc184297725"/>
            <w:r>
              <w:t>TÄGÀ SHÄW | THIRTY MILE</w:t>
            </w:r>
            <w:bookmarkEnd w:id="37"/>
            <w:r>
              <w:t xml:space="preserve"> </w:t>
            </w:r>
          </w:p>
        </w:tc>
      </w:tr>
      <w:tr w:rsidR="0089273B" w:rsidRPr="0089273B" w14:paraId="0EC6B47E" w14:textId="77777777" w:rsidTr="0089273B">
        <w:trPr>
          <w:trHeight w:val="464"/>
        </w:trPr>
        <w:tc>
          <w:tcPr>
            <w:tcW w:w="9180" w:type="dxa"/>
            <w:shd w:val="clear" w:color="auto" w:fill="FFFFFF" w:themeFill="background1"/>
          </w:tcPr>
          <w:p w14:paraId="0A4BC868" w14:textId="77777777" w:rsidR="007159F0" w:rsidRDefault="007159F0" w:rsidP="0089273B">
            <w:pPr>
              <w:ind w:left="0" w:firstLine="0"/>
            </w:pPr>
          </w:p>
          <w:p w14:paraId="5A6A6CAD" w14:textId="51859978" w:rsidR="007159F0" w:rsidRPr="00FF0F9C" w:rsidRDefault="007159F0" w:rsidP="00FF0F9C">
            <w:pPr>
              <w:spacing w:after="0"/>
              <w:ind w:left="0" w:right="53" w:firstLine="0"/>
              <w:rPr>
                <w:rFonts w:asciiTheme="minorHAnsi" w:hAnsiTheme="minorHAnsi" w:cstheme="minorHAnsi"/>
              </w:rPr>
            </w:pPr>
            <w:r>
              <w:rPr>
                <w:rFonts w:asciiTheme="minorHAnsi" w:hAnsiTheme="minorHAnsi"/>
              </w:rPr>
              <w:t>Selon l</w:t>
            </w:r>
            <w:r w:rsidR="003D5850">
              <w:rPr>
                <w:rFonts w:asciiTheme="minorHAnsi" w:hAnsiTheme="minorHAnsi"/>
              </w:rPr>
              <w:t>’</w:t>
            </w:r>
            <w:r>
              <w:rPr>
                <w:rFonts w:asciiTheme="minorHAnsi" w:hAnsiTheme="minorHAnsi"/>
              </w:rPr>
              <w:t>entrepreneur qui s’occupe des emplacements de camping sur ce tronçon du fleuve Yukon, les pagayeurs et les plaisanciers y ont été nombreux en 2022. Au cours de leurs visites hebdomadaires ou bihebdomadaires, ses employés rencontraient généralement entre un et dix groupes de pagayeurs. La fréquentation a été maximale lors des longues fins de semaine et durant la saison de la chasse. Entre le 15</w:t>
            </w:r>
            <w:r w:rsidR="003D5850">
              <w:rPr>
                <w:rFonts w:asciiTheme="minorHAnsi" w:hAnsiTheme="minorHAnsi"/>
              </w:rPr>
              <w:t> </w:t>
            </w:r>
            <w:r>
              <w:rPr>
                <w:rFonts w:asciiTheme="minorHAnsi" w:hAnsiTheme="minorHAnsi"/>
              </w:rPr>
              <w:t>juillet et le 26</w:t>
            </w:r>
            <w:r w:rsidR="003D5850">
              <w:rPr>
                <w:rFonts w:asciiTheme="minorHAnsi" w:hAnsiTheme="minorHAnsi"/>
              </w:rPr>
              <w:t> </w:t>
            </w:r>
            <w:r>
              <w:rPr>
                <w:rFonts w:asciiTheme="minorHAnsi" w:hAnsiTheme="minorHAnsi"/>
              </w:rPr>
              <w:t>septembre, de deux à quatre bateaux transportant de quatre à dix personnes ont été comptés sur le cours d</w:t>
            </w:r>
            <w:r w:rsidR="003D5850">
              <w:rPr>
                <w:rFonts w:asciiTheme="minorHAnsi" w:hAnsiTheme="minorHAnsi"/>
              </w:rPr>
              <w:t>’</w:t>
            </w:r>
            <w:r>
              <w:rPr>
                <w:rFonts w:asciiTheme="minorHAnsi" w:hAnsiTheme="minorHAnsi"/>
              </w:rPr>
              <w:t>eau à chaque visite d’entretien. En plus de voir à l</w:t>
            </w:r>
            <w:r w:rsidR="003D5850">
              <w:rPr>
                <w:rFonts w:asciiTheme="minorHAnsi" w:hAnsiTheme="minorHAnsi"/>
              </w:rPr>
              <w:t>’</w:t>
            </w:r>
            <w:r>
              <w:rPr>
                <w:rFonts w:asciiTheme="minorHAnsi" w:hAnsiTheme="minorHAnsi"/>
              </w:rPr>
              <w:t>entretien régulier des installations de camping, l’entrepreneur a également fourni gratuitement du bois de feu, ce qui a permis de réduire considérablement les dommages que causent les visiteurs lorsqu’ils ramassent du bois sur place.</w:t>
            </w:r>
          </w:p>
          <w:p w14:paraId="35C2D734" w14:textId="5B82A308" w:rsidR="00DA2D41" w:rsidRPr="00747D03" w:rsidRDefault="00DA2D41" w:rsidP="004A11D5">
            <w:pPr>
              <w:ind w:left="0" w:firstLine="0"/>
            </w:pPr>
          </w:p>
        </w:tc>
      </w:tr>
      <w:tr w:rsidR="0089273B" w:rsidRPr="0089273B" w14:paraId="22E4843B" w14:textId="77777777" w:rsidTr="0089273B">
        <w:trPr>
          <w:trHeight w:val="464"/>
        </w:trPr>
        <w:tc>
          <w:tcPr>
            <w:tcW w:w="9180" w:type="dxa"/>
            <w:shd w:val="clear" w:color="auto" w:fill="DEEAF6" w:themeFill="accent1" w:themeFillTint="33"/>
          </w:tcPr>
          <w:p w14:paraId="7289934A" w14:textId="4057FF21" w:rsidR="0089273B" w:rsidRDefault="0089273B" w:rsidP="0089273B">
            <w:pPr>
              <w:pStyle w:val="Heading2"/>
              <w:ind w:left="0" w:firstLine="0"/>
              <w:jc w:val="center"/>
            </w:pPr>
            <w:bookmarkStart w:id="38" w:name="_Toc184297726"/>
            <w:r>
              <w:t>TATSHENSHINI | SHÄWSHE CHÙ</w:t>
            </w:r>
            <w:bookmarkEnd w:id="38"/>
          </w:p>
        </w:tc>
      </w:tr>
      <w:tr w:rsidR="0089273B" w:rsidRPr="0089273B" w14:paraId="3F4C950D" w14:textId="77777777" w:rsidTr="0089273B">
        <w:trPr>
          <w:trHeight w:val="464"/>
        </w:trPr>
        <w:tc>
          <w:tcPr>
            <w:tcW w:w="9180" w:type="dxa"/>
            <w:shd w:val="clear" w:color="auto" w:fill="FFFFFF" w:themeFill="background1"/>
          </w:tcPr>
          <w:p w14:paraId="5F3DA72B" w14:textId="77777777" w:rsidR="004D0932" w:rsidRDefault="004D0932" w:rsidP="0089273B">
            <w:pPr>
              <w:ind w:left="0" w:firstLine="0"/>
            </w:pPr>
          </w:p>
          <w:p w14:paraId="0DE48B3B" w14:textId="2F484FA9" w:rsidR="004D0932" w:rsidRPr="00FF0F9C" w:rsidRDefault="004D0932" w:rsidP="00FF0F9C">
            <w:pPr>
              <w:spacing w:after="0"/>
              <w:ind w:left="0" w:right="53" w:firstLine="0"/>
              <w:rPr>
                <w:rFonts w:asciiTheme="minorHAnsi" w:hAnsiTheme="minorHAnsi" w:cstheme="minorHAnsi"/>
              </w:rPr>
            </w:pPr>
            <w:r>
              <w:rPr>
                <w:rFonts w:asciiTheme="minorHAnsi" w:hAnsiTheme="minorHAnsi"/>
              </w:rPr>
              <w:t>Dans l’ensemble, la partie de la rivière Tatshenshini qui coule au Yukon a conservé les valeurs naturelles, culturelles et patrimoniales grâce auxquelles elle a été désignée. Aucun permis d</w:t>
            </w:r>
            <w:r w:rsidR="003D5850">
              <w:rPr>
                <w:rFonts w:asciiTheme="minorHAnsi" w:hAnsiTheme="minorHAnsi"/>
              </w:rPr>
              <w:t>’</w:t>
            </w:r>
            <w:r>
              <w:rPr>
                <w:rFonts w:asciiTheme="minorHAnsi" w:hAnsiTheme="minorHAnsi"/>
              </w:rPr>
              <w:t>utilisation industrielle des terres n</w:t>
            </w:r>
            <w:r w:rsidR="003D5850">
              <w:rPr>
                <w:rFonts w:asciiTheme="minorHAnsi" w:hAnsiTheme="minorHAnsi"/>
              </w:rPr>
              <w:t>’</w:t>
            </w:r>
            <w:r>
              <w:rPr>
                <w:rFonts w:asciiTheme="minorHAnsi" w:hAnsiTheme="minorHAnsi"/>
              </w:rPr>
              <w:t>a été délivré, et le nombre de claims miniers est demeuré le même (aucun nouvel aménagement). La plus récente enquête de surveillance de l’impact des activités récréatives dans l</w:t>
            </w:r>
            <w:r w:rsidR="003D5850">
              <w:rPr>
                <w:rFonts w:asciiTheme="minorHAnsi" w:hAnsiTheme="minorHAnsi"/>
              </w:rPr>
              <w:t>’</w:t>
            </w:r>
            <w:r>
              <w:rPr>
                <w:rFonts w:asciiTheme="minorHAnsi" w:hAnsiTheme="minorHAnsi"/>
              </w:rPr>
              <w:t>arrière-pays réalisée aux emplacements de camping du cours supérieur de la Tatshenshini date d’août 2019. Aux emplacements étudiés, aucun changement perceptible n’a été relevé, et les impacts étaient minimes. Les valeurs patrimoniales de la rivière ne sont pas véritablement menacées.</w:t>
            </w:r>
          </w:p>
          <w:p w14:paraId="33B19923" w14:textId="2C5B8A18" w:rsidR="0089273B" w:rsidRPr="00FF0F9C" w:rsidRDefault="004D0932" w:rsidP="00FF0F9C">
            <w:pPr>
              <w:ind w:left="163" w:right="53"/>
              <w:rPr>
                <w:rFonts w:ascii="Arial" w:eastAsia="Times New Roman" w:hAnsi="Arial" w:cs="Arial"/>
                <w:color w:val="auto"/>
                <w:sz w:val="22"/>
              </w:rPr>
            </w:pPr>
            <w:r>
              <w:rPr>
                <w:rFonts w:ascii="Arial" w:hAnsi="Arial"/>
              </w:rPr>
              <w:t xml:space="preserve"> </w:t>
            </w:r>
          </w:p>
        </w:tc>
      </w:tr>
      <w:tr w:rsidR="00561E5B" w:rsidRPr="00561E5B" w14:paraId="56FD17AE" w14:textId="77777777" w:rsidTr="004058DD">
        <w:trPr>
          <w:trHeight w:val="464"/>
        </w:trPr>
        <w:tc>
          <w:tcPr>
            <w:tcW w:w="9180" w:type="dxa"/>
            <w:shd w:val="clear" w:color="auto" w:fill="DEEAF6" w:themeFill="accent1" w:themeFillTint="33"/>
          </w:tcPr>
          <w:p w14:paraId="07DD7C7A" w14:textId="43BC5DE1" w:rsidR="00561E5B" w:rsidRPr="004735B2" w:rsidRDefault="00561E5B" w:rsidP="007D65DB">
            <w:pPr>
              <w:pStyle w:val="Heading2"/>
              <w:ind w:left="0" w:firstLine="0"/>
              <w:jc w:val="center"/>
              <w:rPr>
                <w:rFonts w:eastAsia="Calibri"/>
              </w:rPr>
            </w:pPr>
            <w:bookmarkStart w:id="39" w:name="_Toc184297727"/>
            <w:r>
              <w:t>THAMES</w:t>
            </w:r>
            <w:bookmarkEnd w:id="39"/>
          </w:p>
        </w:tc>
      </w:tr>
      <w:tr w:rsidR="00561E5B" w:rsidRPr="00561E5B" w14:paraId="10C4F8DF" w14:textId="77777777" w:rsidTr="00FF0F9C">
        <w:trPr>
          <w:trHeight w:val="464"/>
        </w:trPr>
        <w:tc>
          <w:tcPr>
            <w:tcW w:w="9180" w:type="dxa"/>
            <w:shd w:val="clear" w:color="auto" w:fill="FFFFFF" w:themeFill="background1"/>
          </w:tcPr>
          <w:p w14:paraId="43863336" w14:textId="77777777" w:rsidR="00561E5B" w:rsidRPr="00FF0F9C" w:rsidRDefault="00561E5B" w:rsidP="007D65DB">
            <w:pPr>
              <w:pStyle w:val="Heading2"/>
              <w:ind w:left="0" w:firstLine="0"/>
              <w:jc w:val="center"/>
              <w:rPr>
                <w:rFonts w:eastAsia="Calibri"/>
                <w:lang w:val="en-CA"/>
              </w:rPr>
            </w:pPr>
          </w:p>
          <w:p w14:paraId="6680EA55" w14:textId="76EF2EEF" w:rsidR="00561E5B" w:rsidRPr="00FF0F9C" w:rsidRDefault="00561E5B" w:rsidP="00FF0F9C">
            <w:pPr>
              <w:ind w:left="0" w:firstLine="0"/>
              <w:rPr>
                <w:rFonts w:eastAsia="Times New Roman" w:cs="Times New Roman"/>
                <w:color w:val="auto"/>
              </w:rPr>
            </w:pPr>
            <w:r>
              <w:t>Les gestionnaires de la rivière et toute une série de Premières Nations, de particuliers, de comités, de clubs, d’organismes et de municipalités locaux continuent de soutenir les valeurs patrimoniales de la rivière Thames. En tant que gestionnaires du cours d’eau, l</w:t>
            </w:r>
            <w:r w:rsidR="003D5850">
              <w:t>’</w:t>
            </w:r>
            <w:r>
              <w:t>Office de protection de la nature du cours supérieur de la rivière Thames et l’Office de protection de la nature du cours inférieur de la rivière Thames ont pour mission d’offrir des programmes environnementaux et récréatifs. La préservation et l</w:t>
            </w:r>
            <w:r w:rsidR="003D5850">
              <w:t>’</w:t>
            </w:r>
            <w:r>
              <w:t>interprétation du patrimoine culturel sont assurées par de nombreuses Premières Nations, des musées, des lieux historiques, des plaques, des sociétés de reconstitution historique, des comités du patrimoine et d</w:t>
            </w:r>
            <w:r w:rsidR="003D5850">
              <w:t>’</w:t>
            </w:r>
            <w:r>
              <w:t>autres acteurs dans l</w:t>
            </w:r>
            <w:r w:rsidR="003D5850">
              <w:t>’</w:t>
            </w:r>
            <w:r>
              <w:t>ensemble de ce vaste bassin versant.</w:t>
            </w:r>
          </w:p>
          <w:p w14:paraId="4682535D" w14:textId="77777777" w:rsidR="00561E5B" w:rsidRPr="00FF0F9C" w:rsidRDefault="00561E5B" w:rsidP="00FF0F9C">
            <w:pPr>
              <w:ind w:left="0" w:firstLine="0"/>
              <w:rPr>
                <w:lang w:val="en-CA"/>
              </w:rPr>
            </w:pPr>
          </w:p>
        </w:tc>
      </w:tr>
      <w:tr w:rsidR="00561E5B" w:rsidRPr="00561E5B" w14:paraId="6A8F2B19" w14:textId="77777777" w:rsidTr="004058DD">
        <w:trPr>
          <w:trHeight w:val="464"/>
        </w:trPr>
        <w:tc>
          <w:tcPr>
            <w:tcW w:w="9180" w:type="dxa"/>
            <w:shd w:val="clear" w:color="auto" w:fill="DEEAF6" w:themeFill="accent1" w:themeFillTint="33"/>
          </w:tcPr>
          <w:p w14:paraId="32CFD79B" w14:textId="1622FBFC" w:rsidR="00561E5B" w:rsidRPr="004735B2" w:rsidRDefault="00561E5B" w:rsidP="007D65DB">
            <w:pPr>
              <w:pStyle w:val="Heading2"/>
              <w:ind w:left="0" w:firstLine="0"/>
              <w:jc w:val="center"/>
              <w:rPr>
                <w:rFonts w:eastAsia="Calibri"/>
              </w:rPr>
            </w:pPr>
            <w:bookmarkStart w:id="40" w:name="_Toc184297728"/>
            <w:r>
              <w:t>THREE RIVERS</w:t>
            </w:r>
            <w:bookmarkEnd w:id="40"/>
          </w:p>
        </w:tc>
      </w:tr>
      <w:tr w:rsidR="00561E5B" w:rsidRPr="00561E5B" w14:paraId="5E8F499D" w14:textId="77777777" w:rsidTr="00FF0F9C">
        <w:trPr>
          <w:trHeight w:val="464"/>
        </w:trPr>
        <w:tc>
          <w:tcPr>
            <w:tcW w:w="9180" w:type="dxa"/>
            <w:shd w:val="clear" w:color="auto" w:fill="FFFFFF" w:themeFill="background1"/>
          </w:tcPr>
          <w:p w14:paraId="171535B9" w14:textId="77777777" w:rsidR="0065095B" w:rsidRDefault="0065095B" w:rsidP="00FF0F9C">
            <w:pPr>
              <w:ind w:left="0" w:firstLine="0"/>
            </w:pPr>
          </w:p>
          <w:p w14:paraId="5AB74FE4" w14:textId="0362EB5D" w:rsidR="00561E5B" w:rsidRPr="0065095B" w:rsidRDefault="00FF0F9C" w:rsidP="0065095B">
            <w:pPr>
              <w:ind w:left="0" w:firstLine="0"/>
            </w:pPr>
            <w:r>
              <w:t>Aucun rapport n</w:t>
            </w:r>
            <w:r w:rsidR="003D5850">
              <w:t>’</w:t>
            </w:r>
            <w:r>
              <w:t xml:space="preserve">a été présenté. </w:t>
            </w:r>
          </w:p>
          <w:p w14:paraId="11755D77" w14:textId="77777777" w:rsidR="00561E5B" w:rsidRPr="00561E5B" w:rsidRDefault="00561E5B" w:rsidP="00FF0F9C">
            <w:pPr>
              <w:rPr>
                <w:lang w:val="fr-FR"/>
              </w:rPr>
            </w:pPr>
          </w:p>
        </w:tc>
      </w:tr>
      <w:tr w:rsidR="008C7EDC" w:rsidRPr="00E46308" w14:paraId="2205645C" w14:textId="77777777" w:rsidTr="004058DD">
        <w:trPr>
          <w:trHeight w:val="464"/>
        </w:trPr>
        <w:tc>
          <w:tcPr>
            <w:tcW w:w="9180" w:type="dxa"/>
            <w:shd w:val="clear" w:color="auto" w:fill="DEEAF6" w:themeFill="accent1" w:themeFillTint="33"/>
          </w:tcPr>
          <w:p w14:paraId="6133F9DC" w14:textId="4AA7D6FF" w:rsidR="008C7EDC" w:rsidRPr="004735B2" w:rsidRDefault="004735B2" w:rsidP="007D65DB">
            <w:pPr>
              <w:pStyle w:val="Heading2"/>
              <w:ind w:left="0" w:firstLine="0"/>
              <w:jc w:val="center"/>
            </w:pPr>
            <w:bookmarkStart w:id="41" w:name="_Toc184297729"/>
            <w:r>
              <w:t>TSAIH TL'AK NJIK | BONNET PLUME</w:t>
            </w:r>
            <w:bookmarkEnd w:id="41"/>
          </w:p>
        </w:tc>
      </w:tr>
      <w:tr w:rsidR="008C7EDC" w:rsidRPr="00BD313D" w14:paraId="325975CB" w14:textId="77777777" w:rsidTr="00D747AF">
        <w:trPr>
          <w:trHeight w:val="691"/>
        </w:trPr>
        <w:tc>
          <w:tcPr>
            <w:tcW w:w="9180" w:type="dxa"/>
          </w:tcPr>
          <w:p w14:paraId="30DCC8CD" w14:textId="77777777" w:rsidR="00BD313D" w:rsidRDefault="00BD313D" w:rsidP="004A11D5">
            <w:pPr>
              <w:spacing w:after="0" w:line="259" w:lineRule="auto"/>
              <w:ind w:left="0" w:firstLine="0"/>
            </w:pPr>
          </w:p>
          <w:p w14:paraId="43E7E56E" w14:textId="15C8C35B" w:rsidR="0089273B" w:rsidRPr="00FF0F9C" w:rsidRDefault="00BD313D" w:rsidP="004A11D5">
            <w:pPr>
              <w:spacing w:after="0" w:line="259" w:lineRule="auto"/>
              <w:ind w:left="0" w:firstLine="0"/>
            </w:pPr>
            <w:r>
              <w:rPr>
                <w:rFonts w:asciiTheme="minorHAnsi" w:hAnsiTheme="minorHAnsi"/>
              </w:rPr>
              <w:t>Ce bassin versant n’a connu que très peu d</w:t>
            </w:r>
            <w:r w:rsidR="003D5850">
              <w:rPr>
                <w:rFonts w:asciiTheme="minorHAnsi" w:hAnsiTheme="minorHAnsi"/>
              </w:rPr>
              <w:t>’</w:t>
            </w:r>
            <w:r>
              <w:rPr>
                <w:rFonts w:asciiTheme="minorHAnsi" w:hAnsiTheme="minorHAnsi"/>
              </w:rPr>
              <w:t>activité en 2023. L</w:t>
            </w:r>
            <w:r w:rsidR="003D5850">
              <w:rPr>
                <w:rFonts w:asciiTheme="minorHAnsi" w:hAnsiTheme="minorHAnsi"/>
              </w:rPr>
              <w:t>’</w:t>
            </w:r>
            <w:r>
              <w:rPr>
                <w:rFonts w:asciiTheme="minorHAnsi" w:hAnsiTheme="minorHAnsi"/>
              </w:rPr>
              <w:t xml:space="preserve">étendue des activités récréatives qui y sont </w:t>
            </w:r>
            <w:r w:rsidR="0065095B">
              <w:rPr>
                <w:rFonts w:asciiTheme="minorHAnsi" w:hAnsiTheme="minorHAnsi"/>
              </w:rPr>
              <w:t>pratiquées</w:t>
            </w:r>
            <w:r>
              <w:rPr>
                <w:rFonts w:asciiTheme="minorHAnsi" w:hAnsiTheme="minorHAnsi"/>
              </w:rPr>
              <w:t xml:space="preserve"> n’est pas bien comprise, mais compte tenu des conditions de pagayage très difficiles et des trois portages, on n’y voit généralement que deux ou trois groupes par année.</w:t>
            </w:r>
          </w:p>
        </w:tc>
      </w:tr>
    </w:tbl>
    <w:p w14:paraId="0264DFCC" w14:textId="77777777" w:rsidR="00275958" w:rsidRPr="00FF0F9C" w:rsidRDefault="00275958" w:rsidP="00EF2F0C">
      <w:pPr>
        <w:spacing w:after="0" w:line="259" w:lineRule="auto"/>
        <w:ind w:left="0" w:firstLine="0"/>
        <w:rPr>
          <w:lang w:val="en-CA"/>
        </w:rPr>
      </w:pPr>
    </w:p>
    <w:sectPr w:rsidR="00275958" w:rsidRPr="00FF0F9C" w:rsidSect="005F3731">
      <w:headerReference w:type="even" r:id="rId9"/>
      <w:headerReference w:type="default" r:id="rId10"/>
      <w:footerReference w:type="even" r:id="rId11"/>
      <w:footerReference w:type="default" r:id="rId12"/>
      <w:headerReference w:type="first" r:id="rId13"/>
      <w:footerReference w:type="first" r:id="rId14"/>
      <w:pgSz w:w="12240" w:h="15840"/>
      <w:pgMar w:top="1452" w:right="1820" w:bottom="1501" w:left="1440" w:header="4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D0B2" w14:textId="77777777" w:rsidR="00AD4FD2" w:rsidRDefault="00AD4FD2">
      <w:pPr>
        <w:spacing w:after="0"/>
      </w:pPr>
      <w:r>
        <w:separator/>
      </w:r>
    </w:p>
  </w:endnote>
  <w:endnote w:type="continuationSeparator" w:id="0">
    <w:p w14:paraId="0FFCB273" w14:textId="77777777" w:rsidR="00AD4FD2" w:rsidRDefault="00AD4F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6A73" w14:textId="77777777" w:rsidR="002E4211" w:rsidRDefault="002E4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797306"/>
      <w:docPartObj>
        <w:docPartGallery w:val="Page Numbers (Bottom of Page)"/>
        <w:docPartUnique/>
      </w:docPartObj>
    </w:sdtPr>
    <w:sdtEndPr>
      <w:rPr>
        <w:noProof/>
      </w:rPr>
    </w:sdtEndPr>
    <w:sdtContent>
      <w:p w14:paraId="091F608D" w14:textId="77777777" w:rsidR="005F3731" w:rsidRDefault="005F3731">
        <w:pPr>
          <w:pStyle w:val="Footer"/>
          <w:jc w:val="right"/>
        </w:pPr>
        <w:r>
          <w:fldChar w:fldCharType="begin"/>
        </w:r>
        <w:r>
          <w:instrText xml:space="preserve"> PAGE   \* MERGEFORMAT </w:instrText>
        </w:r>
        <w:r>
          <w:fldChar w:fldCharType="separate"/>
        </w:r>
        <w:r w:rsidR="0066677B">
          <w:t>17</w:t>
        </w:r>
        <w:r>
          <w:fldChar w:fldCharType="end"/>
        </w:r>
      </w:p>
    </w:sdtContent>
  </w:sdt>
  <w:p w14:paraId="13C7AFFB" w14:textId="77777777" w:rsidR="005F3731" w:rsidRDefault="005F3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3FE" w14:textId="77777777" w:rsidR="002E4211" w:rsidRDefault="002E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85EA" w14:textId="77777777" w:rsidR="00AD4FD2" w:rsidRDefault="00AD4FD2">
      <w:pPr>
        <w:spacing w:after="0"/>
      </w:pPr>
      <w:r>
        <w:separator/>
      </w:r>
    </w:p>
  </w:footnote>
  <w:footnote w:type="continuationSeparator" w:id="0">
    <w:p w14:paraId="2D8521E3" w14:textId="77777777" w:rsidR="00AD4FD2" w:rsidRDefault="00AD4F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442D" w14:textId="77777777" w:rsidR="0040558F" w:rsidRDefault="0040558F">
    <w:pPr>
      <w:spacing w:after="0" w:line="259" w:lineRule="auto"/>
      <w:ind w:left="0" w:right="-700" w:firstLine="0"/>
    </w:pPr>
    <w:r>
      <w:rPr>
        <w:noProof/>
      </w:rPr>
      <w:drawing>
        <wp:anchor distT="0" distB="0" distL="114300" distR="114300" simplePos="0" relativeHeight="251658240" behindDoc="0" locked="0" layoutInCell="1" allowOverlap="0" wp14:anchorId="2600EF45" wp14:editId="0CE7DE4B">
          <wp:simplePos x="0" y="0"/>
          <wp:positionH relativeFrom="page">
            <wp:posOffset>4777740</wp:posOffset>
          </wp:positionH>
          <wp:positionV relativeFrom="page">
            <wp:posOffset>266700</wp:posOffset>
          </wp:positionV>
          <wp:extent cx="2283460" cy="469900"/>
          <wp:effectExtent l="0" t="0" r="0" b="0"/>
          <wp:wrapSquare wrapText="bothSides"/>
          <wp:docPr id="326015016" name="Picture 32601501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83460" cy="469900"/>
                  </a:xfrm>
                  <a:prstGeom prst="rect">
                    <a:avLst/>
                  </a:prstGeom>
                </pic:spPr>
              </pic:pic>
            </a:graphicData>
          </a:graphic>
        </wp:anchor>
      </w:drawing>
    </w:r>
    <w:r>
      <w:rPr>
        <w:sz w:val="22"/>
      </w:rPr>
      <w:t xml:space="preserve"> </w:t>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A42B" w14:textId="77777777" w:rsidR="0040558F" w:rsidRDefault="0040558F">
    <w:pPr>
      <w:spacing w:after="0" w:line="259" w:lineRule="auto"/>
      <w:ind w:left="0" w:right="-700" w:firstLine="0"/>
      <w:rPr>
        <w:sz w:val="22"/>
      </w:rPr>
    </w:pPr>
    <w:r>
      <w:rPr>
        <w:noProof/>
      </w:rPr>
      <w:drawing>
        <wp:anchor distT="0" distB="0" distL="114300" distR="114300" simplePos="0" relativeHeight="251659264" behindDoc="0" locked="0" layoutInCell="1" allowOverlap="0" wp14:anchorId="3647ADE0" wp14:editId="76E640EA">
          <wp:simplePos x="0" y="0"/>
          <wp:positionH relativeFrom="page">
            <wp:posOffset>4777740</wp:posOffset>
          </wp:positionH>
          <wp:positionV relativeFrom="page">
            <wp:posOffset>266700</wp:posOffset>
          </wp:positionV>
          <wp:extent cx="2283460" cy="469900"/>
          <wp:effectExtent l="0" t="0" r="0" b="0"/>
          <wp:wrapSquare wrapText="bothSides"/>
          <wp:docPr id="1014454961" name="Picture 101445496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83460" cy="469900"/>
                  </a:xfrm>
                  <a:prstGeom prst="rect">
                    <a:avLst/>
                  </a:prstGeom>
                </pic:spPr>
              </pic:pic>
            </a:graphicData>
          </a:graphic>
        </wp:anchor>
      </w:drawing>
    </w:r>
    <w:r>
      <w:rPr>
        <w:sz w:val="22"/>
      </w:rPr>
      <w:t xml:space="preserve"> </w:t>
    </w:r>
    <w:r>
      <w:rPr>
        <w:sz w:val="22"/>
      </w:rPr>
      <w:tab/>
    </w:r>
  </w:p>
  <w:p w14:paraId="7022ECF2" w14:textId="77777777" w:rsidR="0040558F" w:rsidRDefault="0040558F">
    <w:pPr>
      <w:spacing w:after="0" w:line="259" w:lineRule="auto"/>
      <w:ind w:left="0" w:right="-700" w:firstLine="0"/>
      <w:rPr>
        <w:sz w:val="22"/>
      </w:rPr>
    </w:pPr>
  </w:p>
  <w:p w14:paraId="06E8EC57" w14:textId="77777777" w:rsidR="0040558F" w:rsidRDefault="0040558F">
    <w:pPr>
      <w:spacing w:after="0" w:line="259" w:lineRule="auto"/>
      <w:ind w:left="0" w:right="-700" w:firstLine="0"/>
      <w:rPr>
        <w:sz w:val="22"/>
      </w:rPr>
    </w:pPr>
  </w:p>
  <w:p w14:paraId="30BF72CA" w14:textId="77777777" w:rsidR="0040558F" w:rsidRDefault="0040558F">
    <w:pPr>
      <w:spacing w:after="0" w:line="259" w:lineRule="auto"/>
      <w:ind w:left="0" w:right="-70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854D" w14:textId="77777777" w:rsidR="0040558F" w:rsidRDefault="0040558F">
    <w:pPr>
      <w:spacing w:after="0" w:line="259" w:lineRule="auto"/>
      <w:ind w:left="0" w:right="-700" w:firstLine="0"/>
    </w:pPr>
    <w:r>
      <w:rPr>
        <w:noProof/>
      </w:rPr>
      <w:drawing>
        <wp:anchor distT="0" distB="0" distL="114300" distR="114300" simplePos="0" relativeHeight="251660288" behindDoc="0" locked="0" layoutInCell="1" allowOverlap="0" wp14:anchorId="7A554957" wp14:editId="34EB8405">
          <wp:simplePos x="0" y="0"/>
          <wp:positionH relativeFrom="page">
            <wp:posOffset>4777740</wp:posOffset>
          </wp:positionH>
          <wp:positionV relativeFrom="page">
            <wp:posOffset>266700</wp:posOffset>
          </wp:positionV>
          <wp:extent cx="2283460" cy="469900"/>
          <wp:effectExtent l="0" t="0" r="0" b="0"/>
          <wp:wrapSquare wrapText="bothSides"/>
          <wp:docPr id="884036167" name="Picture 88403616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283460" cy="469900"/>
                  </a:xfrm>
                  <a:prstGeom prst="rect">
                    <a:avLst/>
                  </a:prstGeom>
                </pic:spPr>
              </pic:pic>
            </a:graphicData>
          </a:graphic>
        </wp:anchor>
      </w:drawing>
    </w:r>
    <w:r>
      <w:rPr>
        <w:sz w:val="22"/>
      </w:rPr>
      <w:t xml:space="preserve"> </w:t>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8C2"/>
    <w:multiLevelType w:val="hybridMultilevel"/>
    <w:tmpl w:val="4F6422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670E4F"/>
    <w:multiLevelType w:val="hybridMultilevel"/>
    <w:tmpl w:val="01A8E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DA26FB"/>
    <w:multiLevelType w:val="hybridMultilevel"/>
    <w:tmpl w:val="38906CCA"/>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 w15:restartNumberingAfterBreak="0">
    <w:nsid w:val="4C104CD7"/>
    <w:multiLevelType w:val="hybridMultilevel"/>
    <w:tmpl w:val="AE301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CA60F4"/>
    <w:multiLevelType w:val="hybridMultilevel"/>
    <w:tmpl w:val="13DC20FC"/>
    <w:lvl w:ilvl="0" w:tplc="0B82B870">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619800831">
    <w:abstractNumId w:val="0"/>
  </w:num>
  <w:num w:numId="2" w16cid:durableId="994335502">
    <w:abstractNumId w:val="4"/>
  </w:num>
  <w:num w:numId="3" w16cid:durableId="34276203">
    <w:abstractNumId w:val="1"/>
  </w:num>
  <w:num w:numId="4" w16cid:durableId="421223814">
    <w:abstractNumId w:val="3"/>
  </w:num>
  <w:num w:numId="5" w16cid:durableId="2035954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958"/>
    <w:rsid w:val="00055FFE"/>
    <w:rsid w:val="00081672"/>
    <w:rsid w:val="000B73A2"/>
    <w:rsid w:val="000C3E56"/>
    <w:rsid w:val="000D2FBD"/>
    <w:rsid w:val="000D4A57"/>
    <w:rsid w:val="000E2387"/>
    <w:rsid w:val="00115AAF"/>
    <w:rsid w:val="00140F58"/>
    <w:rsid w:val="00162F13"/>
    <w:rsid w:val="00167617"/>
    <w:rsid w:val="00194255"/>
    <w:rsid w:val="00194A1F"/>
    <w:rsid w:val="001A377A"/>
    <w:rsid w:val="001A3DFF"/>
    <w:rsid w:val="001B03F4"/>
    <w:rsid w:val="001D0F77"/>
    <w:rsid w:val="001E428F"/>
    <w:rsid w:val="00212F7C"/>
    <w:rsid w:val="0023320A"/>
    <w:rsid w:val="00275958"/>
    <w:rsid w:val="00280CE1"/>
    <w:rsid w:val="00285EF8"/>
    <w:rsid w:val="00292585"/>
    <w:rsid w:val="00293DC4"/>
    <w:rsid w:val="002A0FF1"/>
    <w:rsid w:val="002D4282"/>
    <w:rsid w:val="002E4211"/>
    <w:rsid w:val="002F4667"/>
    <w:rsid w:val="003149A8"/>
    <w:rsid w:val="00320B86"/>
    <w:rsid w:val="00336E82"/>
    <w:rsid w:val="0034642C"/>
    <w:rsid w:val="0035455B"/>
    <w:rsid w:val="00360E7B"/>
    <w:rsid w:val="0036658E"/>
    <w:rsid w:val="00370DE7"/>
    <w:rsid w:val="00371339"/>
    <w:rsid w:val="00371839"/>
    <w:rsid w:val="00374531"/>
    <w:rsid w:val="003925E4"/>
    <w:rsid w:val="00396814"/>
    <w:rsid w:val="003A64AC"/>
    <w:rsid w:val="003D5850"/>
    <w:rsid w:val="003E565A"/>
    <w:rsid w:val="003F37CD"/>
    <w:rsid w:val="004001DE"/>
    <w:rsid w:val="0040558F"/>
    <w:rsid w:val="004058DD"/>
    <w:rsid w:val="00435465"/>
    <w:rsid w:val="00450F85"/>
    <w:rsid w:val="00461C8B"/>
    <w:rsid w:val="004735B2"/>
    <w:rsid w:val="0048132F"/>
    <w:rsid w:val="004933CD"/>
    <w:rsid w:val="004A11D5"/>
    <w:rsid w:val="004B0ADD"/>
    <w:rsid w:val="004D0932"/>
    <w:rsid w:val="004E3325"/>
    <w:rsid w:val="00510A18"/>
    <w:rsid w:val="00515D39"/>
    <w:rsid w:val="005606DC"/>
    <w:rsid w:val="0056146A"/>
    <w:rsid w:val="00561E5B"/>
    <w:rsid w:val="00571867"/>
    <w:rsid w:val="005A15DB"/>
    <w:rsid w:val="005B1F0A"/>
    <w:rsid w:val="005B6B29"/>
    <w:rsid w:val="005C071D"/>
    <w:rsid w:val="005C56F8"/>
    <w:rsid w:val="005D3A3A"/>
    <w:rsid w:val="005E7889"/>
    <w:rsid w:val="005F3731"/>
    <w:rsid w:val="006026B7"/>
    <w:rsid w:val="006104DA"/>
    <w:rsid w:val="00622719"/>
    <w:rsid w:val="00623D73"/>
    <w:rsid w:val="006240DC"/>
    <w:rsid w:val="006275AC"/>
    <w:rsid w:val="0063608B"/>
    <w:rsid w:val="0065095B"/>
    <w:rsid w:val="00652506"/>
    <w:rsid w:val="00662243"/>
    <w:rsid w:val="0066677B"/>
    <w:rsid w:val="006808D5"/>
    <w:rsid w:val="006819E4"/>
    <w:rsid w:val="006A793D"/>
    <w:rsid w:val="006A7DCC"/>
    <w:rsid w:val="006B0E05"/>
    <w:rsid w:val="006B2AAB"/>
    <w:rsid w:val="006E2D03"/>
    <w:rsid w:val="006E44ED"/>
    <w:rsid w:val="006F2589"/>
    <w:rsid w:val="007159F0"/>
    <w:rsid w:val="00744E6D"/>
    <w:rsid w:val="00747118"/>
    <w:rsid w:val="00747D03"/>
    <w:rsid w:val="00762F4C"/>
    <w:rsid w:val="0076376C"/>
    <w:rsid w:val="0076589D"/>
    <w:rsid w:val="00774D2D"/>
    <w:rsid w:val="00780625"/>
    <w:rsid w:val="00784A52"/>
    <w:rsid w:val="007B6683"/>
    <w:rsid w:val="007C475E"/>
    <w:rsid w:val="007D09B4"/>
    <w:rsid w:val="007D65DB"/>
    <w:rsid w:val="007E1C1B"/>
    <w:rsid w:val="007E207B"/>
    <w:rsid w:val="007F6F17"/>
    <w:rsid w:val="008000EF"/>
    <w:rsid w:val="008029B3"/>
    <w:rsid w:val="00812EA5"/>
    <w:rsid w:val="00844564"/>
    <w:rsid w:val="0085284E"/>
    <w:rsid w:val="00862ED3"/>
    <w:rsid w:val="00867036"/>
    <w:rsid w:val="008764F2"/>
    <w:rsid w:val="0088499A"/>
    <w:rsid w:val="0089273B"/>
    <w:rsid w:val="008A2BF6"/>
    <w:rsid w:val="008A5923"/>
    <w:rsid w:val="008B05B9"/>
    <w:rsid w:val="008B6102"/>
    <w:rsid w:val="008C7EDC"/>
    <w:rsid w:val="008D2501"/>
    <w:rsid w:val="008D46AB"/>
    <w:rsid w:val="008F11A0"/>
    <w:rsid w:val="008F721E"/>
    <w:rsid w:val="00943BC6"/>
    <w:rsid w:val="00947AB3"/>
    <w:rsid w:val="00947E5A"/>
    <w:rsid w:val="00947EB6"/>
    <w:rsid w:val="00952B00"/>
    <w:rsid w:val="00954566"/>
    <w:rsid w:val="00961AD0"/>
    <w:rsid w:val="00997463"/>
    <w:rsid w:val="009A4DC1"/>
    <w:rsid w:val="009A6ACC"/>
    <w:rsid w:val="009B70DE"/>
    <w:rsid w:val="009C2A69"/>
    <w:rsid w:val="009F383B"/>
    <w:rsid w:val="00A569C8"/>
    <w:rsid w:val="00A72FA0"/>
    <w:rsid w:val="00A76B80"/>
    <w:rsid w:val="00A80116"/>
    <w:rsid w:val="00A87EAB"/>
    <w:rsid w:val="00A9376D"/>
    <w:rsid w:val="00AA3C02"/>
    <w:rsid w:val="00AD4383"/>
    <w:rsid w:val="00AD4FD2"/>
    <w:rsid w:val="00AF3F6F"/>
    <w:rsid w:val="00AF680C"/>
    <w:rsid w:val="00B038BB"/>
    <w:rsid w:val="00B11B1F"/>
    <w:rsid w:val="00B25EB7"/>
    <w:rsid w:val="00B3040F"/>
    <w:rsid w:val="00B469EE"/>
    <w:rsid w:val="00B46F45"/>
    <w:rsid w:val="00B57B2D"/>
    <w:rsid w:val="00B73F82"/>
    <w:rsid w:val="00B804D5"/>
    <w:rsid w:val="00B848EB"/>
    <w:rsid w:val="00BA3B81"/>
    <w:rsid w:val="00BB1EBD"/>
    <w:rsid w:val="00BD09FD"/>
    <w:rsid w:val="00BD313D"/>
    <w:rsid w:val="00BD4B5B"/>
    <w:rsid w:val="00C0013D"/>
    <w:rsid w:val="00C1355F"/>
    <w:rsid w:val="00C31D0D"/>
    <w:rsid w:val="00C752DB"/>
    <w:rsid w:val="00C82E43"/>
    <w:rsid w:val="00C904BF"/>
    <w:rsid w:val="00CA3855"/>
    <w:rsid w:val="00CB1C98"/>
    <w:rsid w:val="00CD69CA"/>
    <w:rsid w:val="00CE4DB4"/>
    <w:rsid w:val="00CF7B75"/>
    <w:rsid w:val="00D011C4"/>
    <w:rsid w:val="00D03C48"/>
    <w:rsid w:val="00D20587"/>
    <w:rsid w:val="00D21CD4"/>
    <w:rsid w:val="00D21F1B"/>
    <w:rsid w:val="00D228ED"/>
    <w:rsid w:val="00D37AC4"/>
    <w:rsid w:val="00D466CD"/>
    <w:rsid w:val="00D747AF"/>
    <w:rsid w:val="00D758B6"/>
    <w:rsid w:val="00D91B11"/>
    <w:rsid w:val="00D96F4B"/>
    <w:rsid w:val="00D97CAB"/>
    <w:rsid w:val="00DA2D41"/>
    <w:rsid w:val="00DB14B8"/>
    <w:rsid w:val="00DB1794"/>
    <w:rsid w:val="00DD231C"/>
    <w:rsid w:val="00DE77FE"/>
    <w:rsid w:val="00E077A2"/>
    <w:rsid w:val="00E21089"/>
    <w:rsid w:val="00E42123"/>
    <w:rsid w:val="00E429EB"/>
    <w:rsid w:val="00E46308"/>
    <w:rsid w:val="00E53605"/>
    <w:rsid w:val="00E762C5"/>
    <w:rsid w:val="00E85FCE"/>
    <w:rsid w:val="00E92DAB"/>
    <w:rsid w:val="00E96FAA"/>
    <w:rsid w:val="00EA2774"/>
    <w:rsid w:val="00EA531C"/>
    <w:rsid w:val="00ED729C"/>
    <w:rsid w:val="00EF2F0C"/>
    <w:rsid w:val="00EF5EDC"/>
    <w:rsid w:val="00EF7AEE"/>
    <w:rsid w:val="00F056B7"/>
    <w:rsid w:val="00F06615"/>
    <w:rsid w:val="00F24F92"/>
    <w:rsid w:val="00F27B64"/>
    <w:rsid w:val="00F321A6"/>
    <w:rsid w:val="00F32E6D"/>
    <w:rsid w:val="00F433D1"/>
    <w:rsid w:val="00F57982"/>
    <w:rsid w:val="00F63E11"/>
    <w:rsid w:val="00F72D30"/>
    <w:rsid w:val="00F80C89"/>
    <w:rsid w:val="00F87EEA"/>
    <w:rsid w:val="00F93B66"/>
    <w:rsid w:val="00F9710F"/>
    <w:rsid w:val="00FB6DE6"/>
    <w:rsid w:val="00FB7289"/>
    <w:rsid w:val="00FB7B01"/>
    <w:rsid w:val="00FC3117"/>
    <w:rsid w:val="00FD362E"/>
    <w:rsid w:val="00FD75B8"/>
    <w:rsid w:val="00FE15DD"/>
    <w:rsid w:val="00FF0F9C"/>
    <w:rsid w:val="00FF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571F"/>
  <w15:docId w15:val="{FBDBFF97-6185-4777-A288-5045844C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06"/>
    <w:pPr>
      <w:spacing w:after="3" w:line="240" w:lineRule="auto"/>
      <w:ind w:left="37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370" w:hanging="10"/>
      <w:jc w:val="center"/>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F93B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3B6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93B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3B66"/>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93B66"/>
    <w:pPr>
      <w:spacing w:after="0" w:line="240" w:lineRule="auto"/>
    </w:pPr>
  </w:style>
  <w:style w:type="character" w:customStyle="1" w:styleId="NoSpacingChar">
    <w:name w:val="No Spacing Char"/>
    <w:basedOn w:val="DefaultParagraphFont"/>
    <w:link w:val="NoSpacing"/>
    <w:uiPriority w:val="1"/>
    <w:rsid w:val="00F93B66"/>
  </w:style>
  <w:style w:type="paragraph" w:styleId="TOCHeading">
    <w:name w:val="TOC Heading"/>
    <w:basedOn w:val="Heading1"/>
    <w:next w:val="Normal"/>
    <w:uiPriority w:val="39"/>
    <w:unhideWhenUsed/>
    <w:qFormat/>
    <w:rsid w:val="00F93B66"/>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6B2AAB"/>
    <w:pPr>
      <w:tabs>
        <w:tab w:val="right" w:leader="dot" w:pos="8970"/>
      </w:tabs>
      <w:spacing w:after="100"/>
      <w:ind w:left="240"/>
    </w:pPr>
    <w:rPr>
      <w:noProof/>
      <w:sz w:val="20"/>
    </w:rPr>
  </w:style>
  <w:style w:type="paragraph" w:styleId="TOC1">
    <w:name w:val="toc 1"/>
    <w:basedOn w:val="Normal"/>
    <w:next w:val="Normal"/>
    <w:autoRedefine/>
    <w:uiPriority w:val="39"/>
    <w:unhideWhenUsed/>
    <w:rsid w:val="00F93B66"/>
    <w:pPr>
      <w:spacing w:after="100"/>
      <w:ind w:left="0"/>
    </w:pPr>
  </w:style>
  <w:style w:type="character" w:styleId="Hyperlink">
    <w:name w:val="Hyperlink"/>
    <w:basedOn w:val="DefaultParagraphFont"/>
    <w:uiPriority w:val="99"/>
    <w:unhideWhenUsed/>
    <w:rsid w:val="00F93B66"/>
    <w:rPr>
      <w:color w:val="0563C1" w:themeColor="hyperlink"/>
      <w:u w:val="single"/>
    </w:rPr>
  </w:style>
  <w:style w:type="paragraph" w:styleId="Footer">
    <w:name w:val="footer"/>
    <w:basedOn w:val="Normal"/>
    <w:link w:val="FooterChar"/>
    <w:uiPriority w:val="99"/>
    <w:unhideWhenUsed/>
    <w:rsid w:val="00336E82"/>
    <w:pPr>
      <w:tabs>
        <w:tab w:val="center" w:pos="4680"/>
        <w:tab w:val="right" w:pos="9360"/>
      </w:tabs>
      <w:spacing w:after="0"/>
    </w:pPr>
  </w:style>
  <w:style w:type="character" w:customStyle="1" w:styleId="FooterChar">
    <w:name w:val="Footer Char"/>
    <w:basedOn w:val="DefaultParagraphFont"/>
    <w:link w:val="Footer"/>
    <w:uiPriority w:val="99"/>
    <w:rsid w:val="00336E82"/>
    <w:rPr>
      <w:rFonts w:ascii="Calibri" w:eastAsia="Calibri" w:hAnsi="Calibri" w:cs="Calibri"/>
      <w:color w:val="000000"/>
      <w:sz w:val="24"/>
    </w:rPr>
  </w:style>
  <w:style w:type="table" w:styleId="TableGrid0">
    <w:name w:val="Table Grid"/>
    <w:basedOn w:val="TableNormal"/>
    <w:uiPriority w:val="39"/>
    <w:rsid w:val="00D7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69E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57982"/>
    <w:rPr>
      <w:sz w:val="16"/>
      <w:szCs w:val="16"/>
    </w:rPr>
  </w:style>
  <w:style w:type="paragraph" w:styleId="CommentText">
    <w:name w:val="annotation text"/>
    <w:basedOn w:val="Normal"/>
    <w:link w:val="CommentTextChar"/>
    <w:uiPriority w:val="99"/>
    <w:unhideWhenUsed/>
    <w:rsid w:val="00F57982"/>
    <w:rPr>
      <w:sz w:val="20"/>
      <w:szCs w:val="20"/>
    </w:rPr>
  </w:style>
  <w:style w:type="character" w:customStyle="1" w:styleId="CommentTextChar">
    <w:name w:val="Comment Text Char"/>
    <w:basedOn w:val="DefaultParagraphFont"/>
    <w:link w:val="CommentText"/>
    <w:uiPriority w:val="99"/>
    <w:rsid w:val="00F5798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57982"/>
    <w:rPr>
      <w:b/>
      <w:bCs/>
    </w:rPr>
  </w:style>
  <w:style w:type="character" w:customStyle="1" w:styleId="CommentSubjectChar">
    <w:name w:val="Comment Subject Char"/>
    <w:basedOn w:val="CommentTextChar"/>
    <w:link w:val="CommentSubject"/>
    <w:uiPriority w:val="99"/>
    <w:semiHidden/>
    <w:rsid w:val="00F57982"/>
    <w:rPr>
      <w:rFonts w:ascii="Calibri" w:eastAsia="Calibri" w:hAnsi="Calibri" w:cs="Calibri"/>
      <w:b/>
      <w:bCs/>
      <w:color w:val="000000"/>
      <w:sz w:val="20"/>
      <w:szCs w:val="20"/>
    </w:rPr>
  </w:style>
  <w:style w:type="paragraph" w:styleId="Revision">
    <w:name w:val="Revision"/>
    <w:hidden/>
    <w:uiPriority w:val="99"/>
    <w:semiHidden/>
    <w:rsid w:val="00162F13"/>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194A1F"/>
    <w:pPr>
      <w:spacing w:after="200" w:line="276" w:lineRule="auto"/>
      <w:ind w:left="720" w:firstLine="0"/>
      <w:contextualSpacing/>
    </w:pPr>
    <w:rPr>
      <w:rFonts w:eastAsia="Times New Roman" w:cs="Times New Roman"/>
      <w:color w:val="auto"/>
      <w:sz w:val="22"/>
      <w:lang w:bidi="en-US"/>
    </w:rPr>
  </w:style>
  <w:style w:type="paragraph" w:customStyle="1" w:styleId="Standard">
    <w:name w:val="Standard"/>
    <w:rsid w:val="00EA531C"/>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069">
      <w:bodyDiv w:val="1"/>
      <w:marLeft w:val="0"/>
      <w:marRight w:val="0"/>
      <w:marTop w:val="0"/>
      <w:marBottom w:val="0"/>
      <w:divBdr>
        <w:top w:val="none" w:sz="0" w:space="0" w:color="auto"/>
        <w:left w:val="none" w:sz="0" w:space="0" w:color="auto"/>
        <w:bottom w:val="none" w:sz="0" w:space="0" w:color="auto"/>
        <w:right w:val="none" w:sz="0" w:space="0" w:color="auto"/>
      </w:divBdr>
    </w:div>
    <w:div w:id="28798261">
      <w:bodyDiv w:val="1"/>
      <w:marLeft w:val="0"/>
      <w:marRight w:val="0"/>
      <w:marTop w:val="0"/>
      <w:marBottom w:val="0"/>
      <w:divBdr>
        <w:top w:val="none" w:sz="0" w:space="0" w:color="auto"/>
        <w:left w:val="none" w:sz="0" w:space="0" w:color="auto"/>
        <w:bottom w:val="none" w:sz="0" w:space="0" w:color="auto"/>
        <w:right w:val="none" w:sz="0" w:space="0" w:color="auto"/>
      </w:divBdr>
    </w:div>
    <w:div w:id="95100536">
      <w:bodyDiv w:val="1"/>
      <w:marLeft w:val="0"/>
      <w:marRight w:val="0"/>
      <w:marTop w:val="0"/>
      <w:marBottom w:val="0"/>
      <w:divBdr>
        <w:top w:val="none" w:sz="0" w:space="0" w:color="auto"/>
        <w:left w:val="none" w:sz="0" w:space="0" w:color="auto"/>
        <w:bottom w:val="none" w:sz="0" w:space="0" w:color="auto"/>
        <w:right w:val="none" w:sz="0" w:space="0" w:color="auto"/>
      </w:divBdr>
    </w:div>
    <w:div w:id="126238724">
      <w:bodyDiv w:val="1"/>
      <w:marLeft w:val="0"/>
      <w:marRight w:val="0"/>
      <w:marTop w:val="0"/>
      <w:marBottom w:val="0"/>
      <w:divBdr>
        <w:top w:val="none" w:sz="0" w:space="0" w:color="auto"/>
        <w:left w:val="none" w:sz="0" w:space="0" w:color="auto"/>
        <w:bottom w:val="none" w:sz="0" w:space="0" w:color="auto"/>
        <w:right w:val="none" w:sz="0" w:space="0" w:color="auto"/>
      </w:divBdr>
    </w:div>
    <w:div w:id="150996991">
      <w:bodyDiv w:val="1"/>
      <w:marLeft w:val="0"/>
      <w:marRight w:val="0"/>
      <w:marTop w:val="0"/>
      <w:marBottom w:val="0"/>
      <w:divBdr>
        <w:top w:val="none" w:sz="0" w:space="0" w:color="auto"/>
        <w:left w:val="none" w:sz="0" w:space="0" w:color="auto"/>
        <w:bottom w:val="none" w:sz="0" w:space="0" w:color="auto"/>
        <w:right w:val="none" w:sz="0" w:space="0" w:color="auto"/>
      </w:divBdr>
    </w:div>
    <w:div w:id="276104102">
      <w:bodyDiv w:val="1"/>
      <w:marLeft w:val="0"/>
      <w:marRight w:val="0"/>
      <w:marTop w:val="0"/>
      <w:marBottom w:val="0"/>
      <w:divBdr>
        <w:top w:val="none" w:sz="0" w:space="0" w:color="auto"/>
        <w:left w:val="none" w:sz="0" w:space="0" w:color="auto"/>
        <w:bottom w:val="none" w:sz="0" w:space="0" w:color="auto"/>
        <w:right w:val="none" w:sz="0" w:space="0" w:color="auto"/>
      </w:divBdr>
    </w:div>
    <w:div w:id="292714985">
      <w:bodyDiv w:val="1"/>
      <w:marLeft w:val="0"/>
      <w:marRight w:val="0"/>
      <w:marTop w:val="0"/>
      <w:marBottom w:val="0"/>
      <w:divBdr>
        <w:top w:val="none" w:sz="0" w:space="0" w:color="auto"/>
        <w:left w:val="none" w:sz="0" w:space="0" w:color="auto"/>
        <w:bottom w:val="none" w:sz="0" w:space="0" w:color="auto"/>
        <w:right w:val="none" w:sz="0" w:space="0" w:color="auto"/>
      </w:divBdr>
    </w:div>
    <w:div w:id="490953633">
      <w:bodyDiv w:val="1"/>
      <w:marLeft w:val="0"/>
      <w:marRight w:val="0"/>
      <w:marTop w:val="0"/>
      <w:marBottom w:val="0"/>
      <w:divBdr>
        <w:top w:val="none" w:sz="0" w:space="0" w:color="auto"/>
        <w:left w:val="none" w:sz="0" w:space="0" w:color="auto"/>
        <w:bottom w:val="none" w:sz="0" w:space="0" w:color="auto"/>
        <w:right w:val="none" w:sz="0" w:space="0" w:color="auto"/>
      </w:divBdr>
    </w:div>
    <w:div w:id="666978513">
      <w:bodyDiv w:val="1"/>
      <w:marLeft w:val="0"/>
      <w:marRight w:val="0"/>
      <w:marTop w:val="0"/>
      <w:marBottom w:val="0"/>
      <w:divBdr>
        <w:top w:val="none" w:sz="0" w:space="0" w:color="auto"/>
        <w:left w:val="none" w:sz="0" w:space="0" w:color="auto"/>
        <w:bottom w:val="none" w:sz="0" w:space="0" w:color="auto"/>
        <w:right w:val="none" w:sz="0" w:space="0" w:color="auto"/>
      </w:divBdr>
    </w:div>
    <w:div w:id="812140810">
      <w:bodyDiv w:val="1"/>
      <w:marLeft w:val="0"/>
      <w:marRight w:val="0"/>
      <w:marTop w:val="0"/>
      <w:marBottom w:val="0"/>
      <w:divBdr>
        <w:top w:val="none" w:sz="0" w:space="0" w:color="auto"/>
        <w:left w:val="none" w:sz="0" w:space="0" w:color="auto"/>
        <w:bottom w:val="none" w:sz="0" w:space="0" w:color="auto"/>
        <w:right w:val="none" w:sz="0" w:space="0" w:color="auto"/>
      </w:divBdr>
    </w:div>
    <w:div w:id="855340291">
      <w:bodyDiv w:val="1"/>
      <w:marLeft w:val="0"/>
      <w:marRight w:val="0"/>
      <w:marTop w:val="0"/>
      <w:marBottom w:val="0"/>
      <w:divBdr>
        <w:top w:val="none" w:sz="0" w:space="0" w:color="auto"/>
        <w:left w:val="none" w:sz="0" w:space="0" w:color="auto"/>
        <w:bottom w:val="none" w:sz="0" w:space="0" w:color="auto"/>
        <w:right w:val="none" w:sz="0" w:space="0" w:color="auto"/>
      </w:divBdr>
    </w:div>
    <w:div w:id="904801848">
      <w:bodyDiv w:val="1"/>
      <w:marLeft w:val="0"/>
      <w:marRight w:val="0"/>
      <w:marTop w:val="0"/>
      <w:marBottom w:val="0"/>
      <w:divBdr>
        <w:top w:val="none" w:sz="0" w:space="0" w:color="auto"/>
        <w:left w:val="none" w:sz="0" w:space="0" w:color="auto"/>
        <w:bottom w:val="none" w:sz="0" w:space="0" w:color="auto"/>
        <w:right w:val="none" w:sz="0" w:space="0" w:color="auto"/>
      </w:divBdr>
    </w:div>
    <w:div w:id="939096611">
      <w:bodyDiv w:val="1"/>
      <w:marLeft w:val="0"/>
      <w:marRight w:val="0"/>
      <w:marTop w:val="0"/>
      <w:marBottom w:val="0"/>
      <w:divBdr>
        <w:top w:val="none" w:sz="0" w:space="0" w:color="auto"/>
        <w:left w:val="none" w:sz="0" w:space="0" w:color="auto"/>
        <w:bottom w:val="none" w:sz="0" w:space="0" w:color="auto"/>
        <w:right w:val="none" w:sz="0" w:space="0" w:color="auto"/>
      </w:divBdr>
    </w:div>
    <w:div w:id="967513919">
      <w:bodyDiv w:val="1"/>
      <w:marLeft w:val="0"/>
      <w:marRight w:val="0"/>
      <w:marTop w:val="0"/>
      <w:marBottom w:val="0"/>
      <w:divBdr>
        <w:top w:val="none" w:sz="0" w:space="0" w:color="auto"/>
        <w:left w:val="none" w:sz="0" w:space="0" w:color="auto"/>
        <w:bottom w:val="none" w:sz="0" w:space="0" w:color="auto"/>
        <w:right w:val="none" w:sz="0" w:space="0" w:color="auto"/>
      </w:divBdr>
    </w:div>
    <w:div w:id="1169172061">
      <w:bodyDiv w:val="1"/>
      <w:marLeft w:val="0"/>
      <w:marRight w:val="0"/>
      <w:marTop w:val="0"/>
      <w:marBottom w:val="0"/>
      <w:divBdr>
        <w:top w:val="none" w:sz="0" w:space="0" w:color="auto"/>
        <w:left w:val="none" w:sz="0" w:space="0" w:color="auto"/>
        <w:bottom w:val="none" w:sz="0" w:space="0" w:color="auto"/>
        <w:right w:val="none" w:sz="0" w:space="0" w:color="auto"/>
      </w:divBdr>
    </w:div>
    <w:div w:id="1281491705">
      <w:bodyDiv w:val="1"/>
      <w:marLeft w:val="0"/>
      <w:marRight w:val="0"/>
      <w:marTop w:val="0"/>
      <w:marBottom w:val="0"/>
      <w:divBdr>
        <w:top w:val="none" w:sz="0" w:space="0" w:color="auto"/>
        <w:left w:val="none" w:sz="0" w:space="0" w:color="auto"/>
        <w:bottom w:val="none" w:sz="0" w:space="0" w:color="auto"/>
        <w:right w:val="none" w:sz="0" w:space="0" w:color="auto"/>
      </w:divBdr>
    </w:div>
    <w:div w:id="1311129669">
      <w:bodyDiv w:val="1"/>
      <w:marLeft w:val="0"/>
      <w:marRight w:val="0"/>
      <w:marTop w:val="0"/>
      <w:marBottom w:val="0"/>
      <w:divBdr>
        <w:top w:val="none" w:sz="0" w:space="0" w:color="auto"/>
        <w:left w:val="none" w:sz="0" w:space="0" w:color="auto"/>
        <w:bottom w:val="none" w:sz="0" w:space="0" w:color="auto"/>
        <w:right w:val="none" w:sz="0" w:space="0" w:color="auto"/>
      </w:divBdr>
    </w:div>
    <w:div w:id="1505821425">
      <w:bodyDiv w:val="1"/>
      <w:marLeft w:val="0"/>
      <w:marRight w:val="0"/>
      <w:marTop w:val="0"/>
      <w:marBottom w:val="0"/>
      <w:divBdr>
        <w:top w:val="none" w:sz="0" w:space="0" w:color="auto"/>
        <w:left w:val="none" w:sz="0" w:space="0" w:color="auto"/>
        <w:bottom w:val="none" w:sz="0" w:space="0" w:color="auto"/>
        <w:right w:val="none" w:sz="0" w:space="0" w:color="auto"/>
      </w:divBdr>
    </w:div>
    <w:div w:id="1526168443">
      <w:bodyDiv w:val="1"/>
      <w:marLeft w:val="0"/>
      <w:marRight w:val="0"/>
      <w:marTop w:val="0"/>
      <w:marBottom w:val="0"/>
      <w:divBdr>
        <w:top w:val="none" w:sz="0" w:space="0" w:color="auto"/>
        <w:left w:val="none" w:sz="0" w:space="0" w:color="auto"/>
        <w:bottom w:val="none" w:sz="0" w:space="0" w:color="auto"/>
        <w:right w:val="none" w:sz="0" w:space="0" w:color="auto"/>
      </w:divBdr>
    </w:div>
    <w:div w:id="1570581610">
      <w:bodyDiv w:val="1"/>
      <w:marLeft w:val="0"/>
      <w:marRight w:val="0"/>
      <w:marTop w:val="0"/>
      <w:marBottom w:val="0"/>
      <w:divBdr>
        <w:top w:val="none" w:sz="0" w:space="0" w:color="auto"/>
        <w:left w:val="none" w:sz="0" w:space="0" w:color="auto"/>
        <w:bottom w:val="none" w:sz="0" w:space="0" w:color="auto"/>
        <w:right w:val="none" w:sz="0" w:space="0" w:color="auto"/>
      </w:divBdr>
    </w:div>
    <w:div w:id="1580482017">
      <w:bodyDiv w:val="1"/>
      <w:marLeft w:val="0"/>
      <w:marRight w:val="0"/>
      <w:marTop w:val="0"/>
      <w:marBottom w:val="0"/>
      <w:divBdr>
        <w:top w:val="none" w:sz="0" w:space="0" w:color="auto"/>
        <w:left w:val="none" w:sz="0" w:space="0" w:color="auto"/>
        <w:bottom w:val="none" w:sz="0" w:space="0" w:color="auto"/>
        <w:right w:val="none" w:sz="0" w:space="0" w:color="auto"/>
      </w:divBdr>
    </w:div>
    <w:div w:id="1676610918">
      <w:bodyDiv w:val="1"/>
      <w:marLeft w:val="0"/>
      <w:marRight w:val="0"/>
      <w:marTop w:val="0"/>
      <w:marBottom w:val="0"/>
      <w:divBdr>
        <w:top w:val="none" w:sz="0" w:space="0" w:color="auto"/>
        <w:left w:val="none" w:sz="0" w:space="0" w:color="auto"/>
        <w:bottom w:val="none" w:sz="0" w:space="0" w:color="auto"/>
        <w:right w:val="none" w:sz="0" w:space="0" w:color="auto"/>
      </w:divBdr>
    </w:div>
    <w:div w:id="1784611660">
      <w:bodyDiv w:val="1"/>
      <w:marLeft w:val="0"/>
      <w:marRight w:val="0"/>
      <w:marTop w:val="0"/>
      <w:marBottom w:val="0"/>
      <w:divBdr>
        <w:top w:val="none" w:sz="0" w:space="0" w:color="auto"/>
        <w:left w:val="none" w:sz="0" w:space="0" w:color="auto"/>
        <w:bottom w:val="none" w:sz="0" w:space="0" w:color="auto"/>
        <w:right w:val="none" w:sz="0" w:space="0" w:color="auto"/>
      </w:divBdr>
    </w:div>
    <w:div w:id="1836257478">
      <w:bodyDiv w:val="1"/>
      <w:marLeft w:val="0"/>
      <w:marRight w:val="0"/>
      <w:marTop w:val="0"/>
      <w:marBottom w:val="0"/>
      <w:divBdr>
        <w:top w:val="none" w:sz="0" w:space="0" w:color="auto"/>
        <w:left w:val="none" w:sz="0" w:space="0" w:color="auto"/>
        <w:bottom w:val="none" w:sz="0" w:space="0" w:color="auto"/>
        <w:right w:val="none" w:sz="0" w:space="0" w:color="auto"/>
      </w:divBdr>
    </w:div>
    <w:div w:id="1862009567">
      <w:bodyDiv w:val="1"/>
      <w:marLeft w:val="0"/>
      <w:marRight w:val="0"/>
      <w:marTop w:val="0"/>
      <w:marBottom w:val="0"/>
      <w:divBdr>
        <w:top w:val="none" w:sz="0" w:space="0" w:color="auto"/>
        <w:left w:val="none" w:sz="0" w:space="0" w:color="auto"/>
        <w:bottom w:val="none" w:sz="0" w:space="0" w:color="auto"/>
        <w:right w:val="none" w:sz="0" w:space="0" w:color="auto"/>
      </w:divBdr>
    </w:div>
    <w:div w:id="1913392020">
      <w:bodyDiv w:val="1"/>
      <w:marLeft w:val="0"/>
      <w:marRight w:val="0"/>
      <w:marTop w:val="0"/>
      <w:marBottom w:val="0"/>
      <w:divBdr>
        <w:top w:val="none" w:sz="0" w:space="0" w:color="auto"/>
        <w:left w:val="none" w:sz="0" w:space="0" w:color="auto"/>
        <w:bottom w:val="none" w:sz="0" w:space="0" w:color="auto"/>
        <w:right w:val="none" w:sz="0" w:space="0" w:color="auto"/>
      </w:divBdr>
    </w:div>
    <w:div w:id="2112503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C6533116E4C848F3836C5B2DBE872"/>
        <w:category>
          <w:name w:val="General"/>
          <w:gallery w:val="placeholder"/>
        </w:category>
        <w:types>
          <w:type w:val="bbPlcHdr"/>
        </w:types>
        <w:behaviors>
          <w:behavior w:val="content"/>
        </w:behaviors>
        <w:guid w:val="{ADDA5E0C-5251-4DCA-A8C2-1205C6C76424}"/>
      </w:docPartPr>
      <w:docPartBody>
        <w:p w:rsidR="001345E7" w:rsidRDefault="001345E7" w:rsidP="001345E7">
          <w:pPr>
            <w:pStyle w:val="29EC6533116E4C848F3836C5B2DBE872"/>
          </w:pPr>
          <w:r>
            <w:rPr>
              <w:color w:val="4472C4" w:themeColor="accent1"/>
              <w:sz w:val="28"/>
              <w:szCs w:val="28"/>
            </w:rPr>
            <w:t>[Document subtitle]</w:t>
          </w:r>
        </w:p>
      </w:docPartBody>
    </w:docPart>
    <w:docPart>
      <w:docPartPr>
        <w:name w:val="89CBA8C0A1D540BDA470A1DFEB886A70"/>
        <w:category>
          <w:name w:val="General"/>
          <w:gallery w:val="placeholder"/>
        </w:category>
        <w:types>
          <w:type w:val="bbPlcHdr"/>
        </w:types>
        <w:behaviors>
          <w:behavior w:val="content"/>
        </w:behaviors>
        <w:guid w:val="{0E19C518-190D-4696-9CD0-5842D6B7367C}"/>
      </w:docPartPr>
      <w:docPartBody>
        <w:p w:rsidR="00057254" w:rsidRDefault="005F1432" w:rsidP="005F1432">
          <w:pPr>
            <w:pStyle w:val="89CBA8C0A1D540BDA470A1DFEB886A70"/>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E7"/>
    <w:rsid w:val="00057254"/>
    <w:rsid w:val="001345E7"/>
    <w:rsid w:val="005F1432"/>
    <w:rsid w:val="00A07CCC"/>
    <w:rsid w:val="00C65A35"/>
    <w:rsid w:val="00CC5F04"/>
    <w:rsid w:val="00F377BF"/>
    <w:rsid w:val="00F6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EC6533116E4C848F3836C5B2DBE872">
    <w:name w:val="29EC6533116E4C848F3836C5B2DBE872"/>
    <w:rsid w:val="001345E7"/>
  </w:style>
  <w:style w:type="paragraph" w:customStyle="1" w:styleId="89CBA8C0A1D540BDA470A1DFEB886A70">
    <w:name w:val="89CBA8C0A1D540BDA470A1DFEB886A70"/>
    <w:rsid w:val="005F1432"/>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2024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4F213-8BF9-4556-B28A-9BB2F935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4310</Words>
  <Characters>24573</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2023 Annual monitoring reports summary</vt:lpstr>
      <vt:lpstr>2022 Annual monitoring reports summary</vt:lpstr>
    </vt:vector>
  </TitlesOfParts>
  <Company>RÉSEAU DES RIVIÈRES DU PATRIMOINE CANADIEN</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RAPPORTS DE SURVEILLANCE ANNUELS DE 2023</dc:title>
  <dc:subject>Résumé des rapports de surveillance annuels des rivières du patrimoine canadien</dc:subject>
  <dc:creator>Lydia Kropp</dc:creator>
  <cp:keywords/>
  <cp:lastModifiedBy>Marleine Gelineau</cp:lastModifiedBy>
  <cp:revision>2</cp:revision>
  <cp:lastPrinted>2022-12-14T19:11:00Z</cp:lastPrinted>
  <dcterms:created xsi:type="dcterms:W3CDTF">2024-12-06T16:09:00Z</dcterms:created>
  <dcterms:modified xsi:type="dcterms:W3CDTF">2024-12-06T16:09:00Z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2024-12-05T21:31:18Z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241a26bc-e24c-41a1-9f7d-2313abcb850a</vt:lpwstr>
  </property>
  <property fmtid="{D5CDD505-2E9C-101B-9397-08002B2CF9AE}" pid="8" name="MSIP_Label_834ed4f5-eae4-40c7-82be-b1cdf720a1b9_ContentBits">
    <vt:lpwstr>0</vt:lpwstr>
  </property>
</Properties>
</file>