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Calibri" w:hAnsi="Calibri" w:cs="Calibri"/>
          <w:color w:val="5B9BD5" w:themeColor="accent1"/>
          <w:sz w:val="24"/>
        </w:rPr>
        <w:id w:val="915681300"/>
        <w:docPartObj>
          <w:docPartGallery w:val="Cover Pages"/>
          <w:docPartUnique/>
        </w:docPartObj>
      </w:sdtPr>
      <w:sdtEndPr>
        <w:rPr>
          <w:color w:val="000000"/>
        </w:rPr>
      </w:sdtEndPr>
      <w:sdtContent>
        <w:p w14:paraId="07C15519" w14:textId="77777777" w:rsidR="00F93B66" w:rsidRDefault="00F93B66">
          <w:pPr>
            <w:pStyle w:val="NoSpacing"/>
            <w:spacing w:before="1540" w:after="240"/>
            <w:jc w:val="center"/>
            <w:rPr>
              <w:color w:val="5B9BD5" w:themeColor="accent1"/>
            </w:rPr>
          </w:pPr>
        </w:p>
        <w:sdt>
          <w:sdtPr>
            <w:rPr>
              <w:rFonts w:asciiTheme="majorHAnsi" w:eastAsiaTheme="majorEastAsia" w:hAnsiTheme="majorHAnsi" w:cstheme="majorBidi"/>
              <w:caps/>
              <w:color w:val="5B9BD5" w:themeColor="accent1"/>
              <w:sz w:val="72"/>
              <w:szCs w:val="72"/>
            </w:rPr>
            <w:alias w:val="Titre"/>
            <w:tag w:val=""/>
            <w:id w:val="1735040861"/>
            <w:placeholder>
              <w:docPart w:val="8DA6F3AEBC7F4AA7802024C0D0A318C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EEA5103" w14:textId="495D5B0F" w:rsidR="00F93B66" w:rsidRDefault="002003E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R</w:t>
              </w:r>
              <w:r w:rsidR="002708F7">
                <w:rPr>
                  <w:rFonts w:asciiTheme="majorHAnsi" w:eastAsiaTheme="majorEastAsia" w:hAnsiTheme="majorHAnsi" w:cstheme="majorBidi"/>
                  <w:caps/>
                  <w:color w:val="5B9BD5" w:themeColor="accent1"/>
                  <w:sz w:val="72"/>
                  <w:szCs w:val="72"/>
                </w:rPr>
                <w:t>ÉSUMÉ DES R</w:t>
              </w:r>
              <w:r>
                <w:rPr>
                  <w:rFonts w:asciiTheme="majorHAnsi" w:eastAsiaTheme="majorEastAsia" w:hAnsiTheme="majorHAnsi" w:cstheme="majorBidi"/>
                  <w:caps/>
                  <w:color w:val="5B9BD5" w:themeColor="accent1"/>
                  <w:sz w:val="72"/>
                  <w:szCs w:val="72"/>
                </w:rPr>
                <w:t xml:space="preserve">APPORTS DE SURVEILLANCES ANNUELS </w:t>
              </w:r>
              <w:r w:rsidR="00221371">
                <w:rPr>
                  <w:rFonts w:asciiTheme="majorHAnsi" w:eastAsiaTheme="majorEastAsia" w:hAnsiTheme="majorHAnsi" w:cstheme="majorBidi"/>
                  <w:caps/>
                  <w:color w:val="5B9BD5" w:themeColor="accent1"/>
                  <w:sz w:val="72"/>
                  <w:szCs w:val="72"/>
                </w:rPr>
                <w:t>DE</w:t>
              </w:r>
              <w:r w:rsidR="002708F7">
                <w:rPr>
                  <w:rFonts w:asciiTheme="majorHAnsi" w:eastAsiaTheme="majorEastAsia" w:hAnsiTheme="majorHAnsi" w:cstheme="majorBidi"/>
                  <w:caps/>
                  <w:color w:val="5B9BD5" w:themeColor="accent1"/>
                  <w:sz w:val="72"/>
                  <w:szCs w:val="72"/>
                </w:rPr>
                <w:t> </w:t>
              </w:r>
              <w:r w:rsidR="00162F13">
                <w:rPr>
                  <w:rFonts w:asciiTheme="majorHAnsi" w:eastAsiaTheme="majorEastAsia" w:hAnsiTheme="majorHAnsi" w:cstheme="majorBidi"/>
                  <w:caps/>
                  <w:color w:val="5B9BD5" w:themeColor="accent1"/>
                  <w:sz w:val="72"/>
                  <w:szCs w:val="72"/>
                </w:rPr>
                <w:t>2022</w:t>
              </w:r>
            </w:p>
          </w:sdtContent>
        </w:sdt>
        <w:sdt>
          <w:sdtPr>
            <w:rPr>
              <w:color w:val="5B9BD5" w:themeColor="accent1"/>
              <w:sz w:val="28"/>
              <w:szCs w:val="28"/>
            </w:rPr>
            <w:alias w:val="Sous-titre"/>
            <w:tag w:val=""/>
            <w:id w:val="328029620"/>
            <w:placeholder>
              <w:docPart w:val="29EC6533116E4C848F3836C5B2DBE872"/>
            </w:placeholder>
            <w:dataBinding w:prefixMappings="xmlns:ns0='http://purl.org/dc/elements/1.1/' xmlns:ns1='http://schemas.openxmlformats.org/package/2006/metadata/core-properties' " w:xpath="/ns1:coreProperties[1]/ns0:subject[1]" w:storeItemID="{6C3C8BC8-F283-45AE-878A-BAB7291924A1}"/>
            <w:text/>
          </w:sdtPr>
          <w:sdtEndPr/>
          <w:sdtContent>
            <w:p w14:paraId="1E32AB05" w14:textId="0EA35EFB" w:rsidR="00F93B66" w:rsidRPr="006104DA" w:rsidRDefault="00084DAC">
              <w:pPr>
                <w:pStyle w:val="NoSpacing"/>
                <w:jc w:val="center"/>
                <w:rPr>
                  <w:color w:val="5B9BD5" w:themeColor="accent1"/>
                  <w:sz w:val="12"/>
                  <w:szCs w:val="28"/>
                </w:rPr>
              </w:pPr>
              <w:r>
                <w:rPr>
                  <w:color w:val="5B9BD5" w:themeColor="accent1"/>
                  <w:sz w:val="28"/>
                  <w:szCs w:val="28"/>
                </w:rPr>
                <w:t xml:space="preserve">Résumé des rapports de surveillance annuels des rivières du patrimoine </w:t>
              </w:r>
              <w:proofErr w:type="gramStart"/>
              <w:r>
                <w:rPr>
                  <w:color w:val="5B9BD5" w:themeColor="accent1"/>
                  <w:sz w:val="28"/>
                  <w:szCs w:val="28"/>
                </w:rPr>
                <w:t>canadien</w:t>
              </w:r>
              <w:proofErr w:type="gramEnd"/>
            </w:p>
          </w:sdtContent>
        </w:sdt>
        <w:p w14:paraId="18D7AADF" w14:textId="77777777" w:rsidR="00F93B66" w:rsidRDefault="00F93B6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14:anchorId="72EA4223" wp14:editId="1FF83F4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47F92" w14:textId="7C4A277F" w:rsidR="0040558F" w:rsidRDefault="0053646D">
                                <w:pPr>
                                  <w:pStyle w:val="NoSpacing"/>
                                  <w:jc w:val="center"/>
                                  <w:rPr>
                                    <w:color w:val="5B9BD5" w:themeColor="accent1"/>
                                  </w:rPr>
                                </w:pPr>
                                <w:sdt>
                                  <w:sdtPr>
                                    <w:rPr>
                                      <w:caps/>
                                      <w:color w:val="5B9BD5" w:themeColor="accent1"/>
                                    </w:rPr>
                                    <w:alias w:val="Organisme"/>
                                    <w:tag w:val=""/>
                                    <w:id w:val="1390145197"/>
                                    <w:dataBinding w:prefixMappings="xmlns:ns0='http://schemas.openxmlformats.org/officeDocument/2006/extended-properties' " w:xpath="/ns0:Properties[1]/ns0:Company[1]" w:storeItemID="{6668398D-A668-4E3E-A5EB-62B293D839F1}"/>
                                    <w:text/>
                                  </w:sdtPr>
                                  <w:sdtEndPr/>
                                  <w:sdtContent>
                                    <w:r w:rsidR="00221371">
                                      <w:rPr>
                                        <w:caps/>
                                        <w:color w:val="5B9BD5" w:themeColor="accent1"/>
                                      </w:rPr>
                                      <w:t>RÉSEAU DES RIVIÈRES DU PATRIMOINE CANADIEN</w:t>
                                    </w:r>
                                  </w:sdtContent>
                                </w:sdt>
                              </w:p>
                              <w:p w14:paraId="5B0ED004" w14:textId="5865AA03" w:rsidR="0040558F" w:rsidRDefault="0053646D">
                                <w:pPr>
                                  <w:pStyle w:val="NoSpacing"/>
                                  <w:jc w:val="center"/>
                                  <w:rPr>
                                    <w:color w:val="5B9BD5" w:themeColor="accent1"/>
                                  </w:rPr>
                                </w:pPr>
                                <w:sdt>
                                  <w:sdtPr>
                                    <w:rPr>
                                      <w:color w:val="5B9BD5"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B50BBE">
                                      <w:rPr>
                                        <w:color w:val="5B9BD5" w:themeColor="accent1"/>
                                      </w:rPr>
                                      <w:t>2022</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2EA422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A347F92" w14:textId="7C4A277F" w:rsidR="0040558F" w:rsidRDefault="00242263">
                          <w:pPr>
                            <w:pStyle w:val="NoSpacing"/>
                            <w:jc w:val="center"/>
                            <w:rPr>
                              <w:color w:val="5B9BD5" w:themeColor="accent1"/>
                            </w:rPr>
                          </w:pPr>
                          <w:sdt>
                            <w:sdtPr>
                              <w:rPr>
                                <w:caps/>
                                <w:color w:val="5B9BD5" w:themeColor="accent1"/>
                              </w:rPr>
                              <w:alias w:val="Organisme"/>
                              <w:tag w:val=""/>
                              <w:id w:val="1390145197"/>
                              <w:dataBinding w:prefixMappings="xmlns:ns0='http://schemas.openxmlformats.org/officeDocument/2006/extended-properties' " w:xpath="/ns0:Properties[1]/ns0:Company[1]" w:storeItemID="{6668398D-A668-4E3E-A5EB-62B293D839F1}"/>
                              <w:text/>
                            </w:sdtPr>
                            <w:sdtEndPr/>
                            <w:sdtContent>
                              <w:r w:rsidR="00221371">
                                <w:rPr>
                                  <w:caps/>
                                  <w:color w:val="5B9BD5" w:themeColor="accent1"/>
                                </w:rPr>
                                <w:t>RÉSEAU DES RIVIÈRES DU PATRIMOINE CANADIEN</w:t>
                              </w:r>
                            </w:sdtContent>
                          </w:sdt>
                        </w:p>
                        <w:p w14:paraId="5B0ED004" w14:textId="5865AA03" w:rsidR="0040558F" w:rsidRDefault="00242263">
                          <w:pPr>
                            <w:pStyle w:val="NoSpacing"/>
                            <w:jc w:val="center"/>
                            <w:rPr>
                              <w:color w:val="5B9BD5" w:themeColor="accent1"/>
                            </w:rPr>
                          </w:pPr>
                          <w:sdt>
                            <w:sdtPr>
                              <w:rPr>
                                <w:color w:val="5B9BD5"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B50BBE">
                                <w:rPr>
                                  <w:color w:val="5B9BD5" w:themeColor="accent1"/>
                                </w:rPr>
                                <w:t>2022</w:t>
                              </w:r>
                            </w:sdtContent>
                          </w:sdt>
                        </w:p>
                      </w:txbxContent>
                    </v:textbox>
                    <w10:wrap anchorx="margin" anchory="page"/>
                  </v:shape>
                </w:pict>
              </mc:Fallback>
            </mc:AlternateContent>
          </w:r>
        </w:p>
        <w:p w14:paraId="24C2EE80" w14:textId="77777777" w:rsidR="00F93B66" w:rsidRPr="0040558F" w:rsidRDefault="00F93B66" w:rsidP="0040558F">
          <w:pPr>
            <w:spacing w:after="160" w:line="259" w:lineRule="auto"/>
            <w:ind w:left="0" w:firstLine="0"/>
          </w:pPr>
          <w:r>
            <w:br w:type="page"/>
          </w:r>
        </w:p>
      </w:sdtContent>
    </w:sdt>
    <w:sdt>
      <w:sdtPr>
        <w:rPr>
          <w:rFonts w:ascii="Calibri" w:eastAsia="Calibri" w:hAnsi="Calibri" w:cs="Calibri"/>
          <w:color w:val="000000"/>
          <w:sz w:val="24"/>
          <w:szCs w:val="22"/>
        </w:rPr>
        <w:id w:val="-1023943125"/>
        <w:docPartObj>
          <w:docPartGallery w:val="Table of Contents"/>
          <w:docPartUnique/>
        </w:docPartObj>
      </w:sdtPr>
      <w:sdtEndPr>
        <w:rPr>
          <w:b/>
          <w:bCs/>
          <w:noProof/>
        </w:rPr>
      </w:sdtEndPr>
      <w:sdtContent>
        <w:p w14:paraId="654474E5" w14:textId="77777777" w:rsidR="005F3731" w:rsidRPr="005F3731" w:rsidRDefault="005F3731" w:rsidP="005F3731">
          <w:pPr>
            <w:pStyle w:val="TOCHeading"/>
          </w:pPr>
          <w:r>
            <w:t>Table des matières</w:t>
          </w:r>
        </w:p>
        <w:p w14:paraId="4844EDB5" w14:textId="5544786C" w:rsidR="002003EA" w:rsidRDefault="005F3731">
          <w:pPr>
            <w:pStyle w:val="TOC2"/>
            <w:rPr>
              <w:rFonts w:asciiTheme="minorHAnsi" w:eastAsiaTheme="minorEastAsia" w:hAnsiTheme="minorHAnsi" w:cstheme="minorBidi"/>
              <w:color w:val="auto"/>
              <w:kern w:val="2"/>
              <w:sz w:val="22"/>
              <w:lang w:val="en-CA" w:eastAsia="en-CA"/>
              <w14:ligatures w14:val="standardContextual"/>
            </w:rPr>
          </w:pPr>
          <w:r>
            <w:fldChar w:fldCharType="begin"/>
          </w:r>
          <w:r>
            <w:instrText xml:space="preserve"> TOC \o "1-3" \h \z \u </w:instrText>
          </w:r>
          <w:r>
            <w:fldChar w:fldCharType="separate"/>
          </w:r>
          <w:hyperlink w:anchor="_Toc184297251" w:history="1">
            <w:r w:rsidR="002003EA" w:rsidRPr="00515732">
              <w:rPr>
                <w:rStyle w:val="Hyperlink"/>
              </w:rPr>
              <w:t>SOMMAIRE</w:t>
            </w:r>
            <w:r w:rsidR="002003EA">
              <w:rPr>
                <w:webHidden/>
              </w:rPr>
              <w:tab/>
            </w:r>
            <w:r w:rsidR="002003EA">
              <w:rPr>
                <w:webHidden/>
              </w:rPr>
              <w:fldChar w:fldCharType="begin"/>
            </w:r>
            <w:r w:rsidR="002003EA">
              <w:rPr>
                <w:webHidden/>
              </w:rPr>
              <w:instrText xml:space="preserve"> PAGEREF _Toc184297251 \h </w:instrText>
            </w:r>
            <w:r w:rsidR="002003EA">
              <w:rPr>
                <w:webHidden/>
              </w:rPr>
            </w:r>
            <w:r w:rsidR="002003EA">
              <w:rPr>
                <w:webHidden/>
              </w:rPr>
              <w:fldChar w:fldCharType="separate"/>
            </w:r>
            <w:r w:rsidR="002003EA">
              <w:rPr>
                <w:webHidden/>
              </w:rPr>
              <w:t>3</w:t>
            </w:r>
            <w:r w:rsidR="002003EA">
              <w:rPr>
                <w:webHidden/>
              </w:rPr>
              <w:fldChar w:fldCharType="end"/>
            </w:r>
          </w:hyperlink>
        </w:p>
        <w:p w14:paraId="1760108F" w14:textId="3D850848"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2" w:history="1">
            <w:r w:rsidR="002003EA" w:rsidRPr="00515732">
              <w:rPr>
                <w:rStyle w:val="Hyperlink"/>
              </w:rPr>
              <w:t>ATHABASCA</w:t>
            </w:r>
            <w:r w:rsidR="002003EA">
              <w:rPr>
                <w:webHidden/>
              </w:rPr>
              <w:tab/>
            </w:r>
            <w:r w:rsidR="002003EA">
              <w:rPr>
                <w:webHidden/>
              </w:rPr>
              <w:fldChar w:fldCharType="begin"/>
            </w:r>
            <w:r w:rsidR="002003EA">
              <w:rPr>
                <w:webHidden/>
              </w:rPr>
              <w:instrText xml:space="preserve"> PAGEREF _Toc184297252 \h </w:instrText>
            </w:r>
            <w:r w:rsidR="002003EA">
              <w:rPr>
                <w:webHidden/>
              </w:rPr>
            </w:r>
            <w:r w:rsidR="002003EA">
              <w:rPr>
                <w:webHidden/>
              </w:rPr>
              <w:fldChar w:fldCharType="separate"/>
            </w:r>
            <w:r w:rsidR="002003EA">
              <w:rPr>
                <w:webHidden/>
              </w:rPr>
              <w:t>4</w:t>
            </w:r>
            <w:r w:rsidR="002003EA">
              <w:rPr>
                <w:webHidden/>
              </w:rPr>
              <w:fldChar w:fldCharType="end"/>
            </w:r>
          </w:hyperlink>
        </w:p>
        <w:p w14:paraId="5B67FC70" w14:textId="2FC1C475"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3" w:history="1">
            <w:r w:rsidR="002003EA" w:rsidRPr="00515732">
              <w:rPr>
                <w:rStyle w:val="Hyperlink"/>
              </w:rPr>
              <w:t>BAY DU NORD</w:t>
            </w:r>
            <w:r w:rsidR="002003EA">
              <w:rPr>
                <w:webHidden/>
              </w:rPr>
              <w:tab/>
            </w:r>
            <w:r w:rsidR="002003EA">
              <w:rPr>
                <w:webHidden/>
              </w:rPr>
              <w:fldChar w:fldCharType="begin"/>
            </w:r>
            <w:r w:rsidR="002003EA">
              <w:rPr>
                <w:webHidden/>
              </w:rPr>
              <w:instrText xml:space="preserve"> PAGEREF _Toc184297253 \h </w:instrText>
            </w:r>
            <w:r w:rsidR="002003EA">
              <w:rPr>
                <w:webHidden/>
              </w:rPr>
            </w:r>
            <w:r w:rsidR="002003EA">
              <w:rPr>
                <w:webHidden/>
              </w:rPr>
              <w:fldChar w:fldCharType="separate"/>
            </w:r>
            <w:r w:rsidR="002003EA">
              <w:rPr>
                <w:webHidden/>
              </w:rPr>
              <w:t>4</w:t>
            </w:r>
            <w:r w:rsidR="002003EA">
              <w:rPr>
                <w:webHidden/>
              </w:rPr>
              <w:fldChar w:fldCharType="end"/>
            </w:r>
          </w:hyperlink>
        </w:p>
        <w:p w14:paraId="3F4C4142" w14:textId="17179BAE"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4" w:history="1">
            <w:r w:rsidR="002003EA" w:rsidRPr="00515732">
              <w:rPr>
                <w:rStyle w:val="Hyperlink"/>
              </w:rPr>
              <w:t>ROUTE FRONTALIÈRE DES VOYAGEURS</w:t>
            </w:r>
            <w:r w:rsidR="002003EA">
              <w:rPr>
                <w:webHidden/>
              </w:rPr>
              <w:tab/>
            </w:r>
            <w:r w:rsidR="002003EA">
              <w:rPr>
                <w:webHidden/>
              </w:rPr>
              <w:fldChar w:fldCharType="begin"/>
            </w:r>
            <w:r w:rsidR="002003EA">
              <w:rPr>
                <w:webHidden/>
              </w:rPr>
              <w:instrText xml:space="preserve"> PAGEREF _Toc184297254 \h </w:instrText>
            </w:r>
            <w:r w:rsidR="002003EA">
              <w:rPr>
                <w:webHidden/>
              </w:rPr>
            </w:r>
            <w:r w:rsidR="002003EA">
              <w:rPr>
                <w:webHidden/>
              </w:rPr>
              <w:fldChar w:fldCharType="separate"/>
            </w:r>
            <w:r w:rsidR="002003EA">
              <w:rPr>
                <w:webHidden/>
              </w:rPr>
              <w:t>4</w:t>
            </w:r>
            <w:r w:rsidR="002003EA">
              <w:rPr>
                <w:webHidden/>
              </w:rPr>
              <w:fldChar w:fldCharType="end"/>
            </w:r>
          </w:hyperlink>
        </w:p>
        <w:p w14:paraId="6B706262" w14:textId="61D9F9AE"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5" w:history="1">
            <w:r w:rsidR="002003EA" w:rsidRPr="00515732">
              <w:rPr>
                <w:rStyle w:val="Hyperlink"/>
              </w:rPr>
              <w:t>CLEARWATER (SASKATCHEWAN)</w:t>
            </w:r>
            <w:r w:rsidR="002003EA">
              <w:rPr>
                <w:webHidden/>
              </w:rPr>
              <w:tab/>
            </w:r>
            <w:r w:rsidR="002003EA">
              <w:rPr>
                <w:webHidden/>
              </w:rPr>
              <w:fldChar w:fldCharType="begin"/>
            </w:r>
            <w:r w:rsidR="002003EA">
              <w:rPr>
                <w:webHidden/>
              </w:rPr>
              <w:instrText xml:space="preserve"> PAGEREF _Toc184297255 \h </w:instrText>
            </w:r>
            <w:r w:rsidR="002003EA">
              <w:rPr>
                <w:webHidden/>
              </w:rPr>
            </w:r>
            <w:r w:rsidR="002003EA">
              <w:rPr>
                <w:webHidden/>
              </w:rPr>
              <w:fldChar w:fldCharType="separate"/>
            </w:r>
            <w:r w:rsidR="002003EA">
              <w:rPr>
                <w:webHidden/>
              </w:rPr>
              <w:t>4</w:t>
            </w:r>
            <w:r w:rsidR="002003EA">
              <w:rPr>
                <w:webHidden/>
              </w:rPr>
              <w:fldChar w:fldCharType="end"/>
            </w:r>
          </w:hyperlink>
        </w:p>
        <w:p w14:paraId="517B2889" w14:textId="1A0BFA7F"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6" w:history="1">
            <w:r w:rsidR="002003EA" w:rsidRPr="00515732">
              <w:rPr>
                <w:rStyle w:val="Hyperlink"/>
              </w:rPr>
              <w:t>DES NEDHÈ | SEAL</w:t>
            </w:r>
            <w:r w:rsidR="002003EA">
              <w:rPr>
                <w:webHidden/>
              </w:rPr>
              <w:tab/>
            </w:r>
            <w:r w:rsidR="002003EA">
              <w:rPr>
                <w:webHidden/>
              </w:rPr>
              <w:fldChar w:fldCharType="begin"/>
            </w:r>
            <w:r w:rsidR="002003EA">
              <w:rPr>
                <w:webHidden/>
              </w:rPr>
              <w:instrText xml:space="preserve"> PAGEREF _Toc184297256 \h </w:instrText>
            </w:r>
            <w:r w:rsidR="002003EA">
              <w:rPr>
                <w:webHidden/>
              </w:rPr>
            </w:r>
            <w:r w:rsidR="002003EA">
              <w:rPr>
                <w:webHidden/>
              </w:rPr>
              <w:fldChar w:fldCharType="separate"/>
            </w:r>
            <w:r w:rsidR="002003EA">
              <w:rPr>
                <w:webHidden/>
              </w:rPr>
              <w:t>5</w:t>
            </w:r>
            <w:r w:rsidR="002003EA">
              <w:rPr>
                <w:webHidden/>
              </w:rPr>
              <w:fldChar w:fldCharType="end"/>
            </w:r>
          </w:hyperlink>
        </w:p>
        <w:p w14:paraId="7CCEEF00" w14:textId="40B2F78E"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7" w:history="1">
            <w:r w:rsidR="002003EA" w:rsidRPr="00515732">
              <w:rPr>
                <w:rStyle w:val="Hyperlink"/>
              </w:rPr>
              <w:t>DÉTROIT</w:t>
            </w:r>
            <w:r w:rsidR="002003EA">
              <w:rPr>
                <w:webHidden/>
              </w:rPr>
              <w:tab/>
            </w:r>
            <w:r w:rsidR="002003EA">
              <w:rPr>
                <w:webHidden/>
              </w:rPr>
              <w:fldChar w:fldCharType="begin"/>
            </w:r>
            <w:r w:rsidR="002003EA">
              <w:rPr>
                <w:webHidden/>
              </w:rPr>
              <w:instrText xml:space="preserve"> PAGEREF _Toc184297257 \h </w:instrText>
            </w:r>
            <w:r w:rsidR="002003EA">
              <w:rPr>
                <w:webHidden/>
              </w:rPr>
            </w:r>
            <w:r w:rsidR="002003EA">
              <w:rPr>
                <w:webHidden/>
              </w:rPr>
              <w:fldChar w:fldCharType="separate"/>
            </w:r>
            <w:r w:rsidR="002003EA">
              <w:rPr>
                <w:webHidden/>
              </w:rPr>
              <w:t>5</w:t>
            </w:r>
            <w:r w:rsidR="002003EA">
              <w:rPr>
                <w:webHidden/>
              </w:rPr>
              <w:fldChar w:fldCharType="end"/>
            </w:r>
          </w:hyperlink>
        </w:p>
        <w:p w14:paraId="29B3CE09" w14:textId="53B43356"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8" w:history="1">
            <w:r w:rsidR="002003EA" w:rsidRPr="00515732">
              <w:rPr>
                <w:rStyle w:val="Hyperlink"/>
              </w:rPr>
              <w:t>FRASER</w:t>
            </w:r>
            <w:r w:rsidR="002003EA">
              <w:rPr>
                <w:webHidden/>
              </w:rPr>
              <w:tab/>
            </w:r>
            <w:r w:rsidR="002003EA">
              <w:rPr>
                <w:webHidden/>
              </w:rPr>
              <w:fldChar w:fldCharType="begin"/>
            </w:r>
            <w:r w:rsidR="002003EA">
              <w:rPr>
                <w:webHidden/>
              </w:rPr>
              <w:instrText xml:space="preserve"> PAGEREF _Toc184297258 \h </w:instrText>
            </w:r>
            <w:r w:rsidR="002003EA">
              <w:rPr>
                <w:webHidden/>
              </w:rPr>
            </w:r>
            <w:r w:rsidR="002003EA">
              <w:rPr>
                <w:webHidden/>
              </w:rPr>
              <w:fldChar w:fldCharType="separate"/>
            </w:r>
            <w:r w:rsidR="002003EA">
              <w:rPr>
                <w:webHidden/>
              </w:rPr>
              <w:t>6</w:t>
            </w:r>
            <w:r w:rsidR="002003EA">
              <w:rPr>
                <w:webHidden/>
              </w:rPr>
              <w:fldChar w:fldCharType="end"/>
            </w:r>
          </w:hyperlink>
        </w:p>
        <w:p w14:paraId="71F3ECA2" w14:textId="084128B4"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59" w:history="1">
            <w:r w:rsidR="002003EA" w:rsidRPr="00515732">
              <w:rPr>
                <w:rStyle w:val="Hyperlink"/>
              </w:rPr>
              <w:t>GRAND</w:t>
            </w:r>
            <w:r w:rsidR="002003EA">
              <w:rPr>
                <w:webHidden/>
              </w:rPr>
              <w:tab/>
            </w:r>
            <w:r w:rsidR="002003EA">
              <w:rPr>
                <w:webHidden/>
              </w:rPr>
              <w:fldChar w:fldCharType="begin"/>
            </w:r>
            <w:r w:rsidR="002003EA">
              <w:rPr>
                <w:webHidden/>
              </w:rPr>
              <w:instrText xml:space="preserve"> PAGEREF _Toc184297259 \h </w:instrText>
            </w:r>
            <w:r w:rsidR="002003EA">
              <w:rPr>
                <w:webHidden/>
              </w:rPr>
            </w:r>
            <w:r w:rsidR="002003EA">
              <w:rPr>
                <w:webHidden/>
              </w:rPr>
              <w:fldChar w:fldCharType="separate"/>
            </w:r>
            <w:r w:rsidR="002003EA">
              <w:rPr>
                <w:webHidden/>
              </w:rPr>
              <w:t>6</w:t>
            </w:r>
            <w:r w:rsidR="002003EA">
              <w:rPr>
                <w:webHidden/>
              </w:rPr>
              <w:fldChar w:fldCharType="end"/>
            </w:r>
          </w:hyperlink>
        </w:p>
        <w:p w14:paraId="35C9F9FD" w14:textId="566A87C6"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0" w:history="1">
            <w:r w:rsidR="002003EA" w:rsidRPr="00515732">
              <w:rPr>
                <w:rStyle w:val="Hyperlink"/>
              </w:rPr>
              <w:t xml:space="preserve">HARVAQTUUQ | </w:t>
            </w:r>
            <w:r w:rsidR="002003EA" w:rsidRPr="00515732">
              <w:rPr>
                <w:rStyle w:val="Hyperlink"/>
                <w:rFonts w:ascii="Gadugi" w:hAnsi="Gadugi"/>
              </w:rPr>
              <w:t>ᕼᐊᕐᕙᖅᑑᖅ</w:t>
            </w:r>
            <w:r w:rsidR="002003EA" w:rsidRPr="00515732">
              <w:rPr>
                <w:rStyle w:val="Hyperlink"/>
              </w:rPr>
              <w:t xml:space="preserve"> | KAZAN</w:t>
            </w:r>
            <w:r w:rsidR="002003EA">
              <w:rPr>
                <w:webHidden/>
              </w:rPr>
              <w:tab/>
            </w:r>
            <w:r w:rsidR="002003EA">
              <w:rPr>
                <w:webHidden/>
              </w:rPr>
              <w:fldChar w:fldCharType="begin"/>
            </w:r>
            <w:r w:rsidR="002003EA">
              <w:rPr>
                <w:webHidden/>
              </w:rPr>
              <w:instrText xml:space="preserve"> PAGEREF _Toc184297260 \h </w:instrText>
            </w:r>
            <w:r w:rsidR="002003EA">
              <w:rPr>
                <w:webHidden/>
              </w:rPr>
            </w:r>
            <w:r w:rsidR="002003EA">
              <w:rPr>
                <w:webHidden/>
              </w:rPr>
              <w:fldChar w:fldCharType="separate"/>
            </w:r>
            <w:r w:rsidR="002003EA">
              <w:rPr>
                <w:webHidden/>
              </w:rPr>
              <w:t>6</w:t>
            </w:r>
            <w:r w:rsidR="002003EA">
              <w:rPr>
                <w:webHidden/>
              </w:rPr>
              <w:fldChar w:fldCharType="end"/>
            </w:r>
          </w:hyperlink>
        </w:p>
        <w:p w14:paraId="2088318F" w14:textId="5A25687B"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1" w:history="1">
            <w:r w:rsidR="002003EA" w:rsidRPr="00515732">
              <w:rPr>
                <w:rStyle w:val="Hyperlink"/>
              </w:rPr>
              <w:t>HILLSBOROUGH</w:t>
            </w:r>
            <w:r w:rsidR="002003EA">
              <w:rPr>
                <w:webHidden/>
              </w:rPr>
              <w:tab/>
            </w:r>
            <w:r w:rsidR="002003EA">
              <w:rPr>
                <w:webHidden/>
              </w:rPr>
              <w:fldChar w:fldCharType="begin"/>
            </w:r>
            <w:r w:rsidR="002003EA">
              <w:rPr>
                <w:webHidden/>
              </w:rPr>
              <w:instrText xml:space="preserve"> PAGEREF _Toc184297261 \h </w:instrText>
            </w:r>
            <w:r w:rsidR="002003EA">
              <w:rPr>
                <w:webHidden/>
              </w:rPr>
            </w:r>
            <w:r w:rsidR="002003EA">
              <w:rPr>
                <w:webHidden/>
              </w:rPr>
              <w:fldChar w:fldCharType="separate"/>
            </w:r>
            <w:r w:rsidR="002003EA">
              <w:rPr>
                <w:webHidden/>
              </w:rPr>
              <w:t>7</w:t>
            </w:r>
            <w:r w:rsidR="002003EA">
              <w:rPr>
                <w:webHidden/>
              </w:rPr>
              <w:fldChar w:fldCharType="end"/>
            </w:r>
          </w:hyperlink>
        </w:p>
        <w:p w14:paraId="23E1FBD7" w14:textId="15CD86A8"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2" w:history="1">
            <w:r w:rsidR="002003EA" w:rsidRPr="00515732">
              <w:rPr>
                <w:rStyle w:val="Hyperlink"/>
              </w:rPr>
              <w:t>HUMBER</w:t>
            </w:r>
            <w:r w:rsidR="002003EA">
              <w:rPr>
                <w:webHidden/>
              </w:rPr>
              <w:tab/>
            </w:r>
            <w:r w:rsidR="002003EA">
              <w:rPr>
                <w:webHidden/>
              </w:rPr>
              <w:fldChar w:fldCharType="begin"/>
            </w:r>
            <w:r w:rsidR="002003EA">
              <w:rPr>
                <w:webHidden/>
              </w:rPr>
              <w:instrText xml:space="preserve"> PAGEREF _Toc184297262 \h </w:instrText>
            </w:r>
            <w:r w:rsidR="002003EA">
              <w:rPr>
                <w:webHidden/>
              </w:rPr>
            </w:r>
            <w:r w:rsidR="002003EA">
              <w:rPr>
                <w:webHidden/>
              </w:rPr>
              <w:fldChar w:fldCharType="separate"/>
            </w:r>
            <w:r w:rsidR="002003EA">
              <w:rPr>
                <w:webHidden/>
              </w:rPr>
              <w:t>7</w:t>
            </w:r>
            <w:r w:rsidR="002003EA">
              <w:rPr>
                <w:webHidden/>
              </w:rPr>
              <w:fldChar w:fldCharType="end"/>
            </w:r>
          </w:hyperlink>
        </w:p>
        <w:p w14:paraId="2F87261F" w14:textId="6C1AE2B8"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3" w:history="1">
            <w:r w:rsidR="002003EA" w:rsidRPr="00515732">
              <w:rPr>
                <w:rStyle w:val="Hyperlink"/>
              </w:rPr>
              <w:t xml:space="preserve">KANGIRJUAP | </w:t>
            </w:r>
            <w:r w:rsidR="002003EA" w:rsidRPr="00515732">
              <w:rPr>
                <w:rStyle w:val="Hyperlink"/>
                <w:rFonts w:ascii="Gadugi" w:hAnsi="Gadugi"/>
              </w:rPr>
              <w:t>ᑭᖏᕐᔪᐊᑉ</w:t>
            </w:r>
            <w:r w:rsidR="002003EA" w:rsidRPr="00515732">
              <w:rPr>
                <w:rStyle w:val="Hyperlink"/>
              </w:rPr>
              <w:t xml:space="preserve"> | THELON</w:t>
            </w:r>
            <w:r w:rsidR="002003EA">
              <w:rPr>
                <w:webHidden/>
              </w:rPr>
              <w:tab/>
            </w:r>
            <w:r w:rsidR="002003EA">
              <w:rPr>
                <w:webHidden/>
              </w:rPr>
              <w:fldChar w:fldCharType="begin"/>
            </w:r>
            <w:r w:rsidR="002003EA">
              <w:rPr>
                <w:webHidden/>
              </w:rPr>
              <w:instrText xml:space="preserve"> PAGEREF _Toc184297263 \h </w:instrText>
            </w:r>
            <w:r w:rsidR="002003EA">
              <w:rPr>
                <w:webHidden/>
              </w:rPr>
            </w:r>
            <w:r w:rsidR="002003EA">
              <w:rPr>
                <w:webHidden/>
              </w:rPr>
              <w:fldChar w:fldCharType="separate"/>
            </w:r>
            <w:r w:rsidR="002003EA">
              <w:rPr>
                <w:webHidden/>
              </w:rPr>
              <w:t>8</w:t>
            </w:r>
            <w:r w:rsidR="002003EA">
              <w:rPr>
                <w:webHidden/>
              </w:rPr>
              <w:fldChar w:fldCharType="end"/>
            </w:r>
          </w:hyperlink>
        </w:p>
        <w:p w14:paraId="6ECE43E2" w14:textId="0831DCBA"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4" w:history="1">
            <w:r w:rsidR="002003EA" w:rsidRPr="00515732">
              <w:rPr>
                <w:rStyle w:val="Hyperlink"/>
              </w:rPr>
              <w:t>KICKING HORSE</w:t>
            </w:r>
            <w:r w:rsidR="002003EA">
              <w:rPr>
                <w:webHidden/>
              </w:rPr>
              <w:tab/>
            </w:r>
            <w:r w:rsidR="002003EA">
              <w:rPr>
                <w:webHidden/>
              </w:rPr>
              <w:fldChar w:fldCharType="begin"/>
            </w:r>
            <w:r w:rsidR="002003EA">
              <w:rPr>
                <w:webHidden/>
              </w:rPr>
              <w:instrText xml:space="preserve"> PAGEREF _Toc184297264 \h </w:instrText>
            </w:r>
            <w:r w:rsidR="002003EA">
              <w:rPr>
                <w:webHidden/>
              </w:rPr>
            </w:r>
            <w:r w:rsidR="002003EA">
              <w:rPr>
                <w:webHidden/>
              </w:rPr>
              <w:fldChar w:fldCharType="separate"/>
            </w:r>
            <w:r w:rsidR="002003EA">
              <w:rPr>
                <w:webHidden/>
              </w:rPr>
              <w:t>9</w:t>
            </w:r>
            <w:r w:rsidR="002003EA">
              <w:rPr>
                <w:webHidden/>
              </w:rPr>
              <w:fldChar w:fldCharType="end"/>
            </w:r>
          </w:hyperlink>
        </w:p>
        <w:p w14:paraId="7A0F2005" w14:textId="11696816"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5" w:history="1">
            <w:r w:rsidR="002003EA" w:rsidRPr="00515732">
              <w:rPr>
                <w:rStyle w:val="Hyperlink"/>
              </w:rPr>
              <w:t>HAYES | KISIPIKAMAWI SIPI | APIHT SIPI</w:t>
            </w:r>
            <w:r w:rsidR="002003EA">
              <w:rPr>
                <w:webHidden/>
              </w:rPr>
              <w:tab/>
            </w:r>
            <w:r w:rsidR="002003EA">
              <w:rPr>
                <w:webHidden/>
              </w:rPr>
              <w:fldChar w:fldCharType="begin"/>
            </w:r>
            <w:r w:rsidR="002003EA">
              <w:rPr>
                <w:webHidden/>
              </w:rPr>
              <w:instrText xml:space="preserve"> PAGEREF _Toc184297265 \h </w:instrText>
            </w:r>
            <w:r w:rsidR="002003EA">
              <w:rPr>
                <w:webHidden/>
              </w:rPr>
            </w:r>
            <w:r w:rsidR="002003EA">
              <w:rPr>
                <w:webHidden/>
              </w:rPr>
              <w:fldChar w:fldCharType="separate"/>
            </w:r>
            <w:r w:rsidR="002003EA">
              <w:rPr>
                <w:webHidden/>
              </w:rPr>
              <w:t>9</w:t>
            </w:r>
            <w:r w:rsidR="002003EA">
              <w:rPr>
                <w:webHidden/>
              </w:rPr>
              <w:fldChar w:fldCharType="end"/>
            </w:r>
          </w:hyperlink>
        </w:p>
        <w:p w14:paraId="314C67D0" w14:textId="452E16F7"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6" w:history="1">
            <w:r w:rsidR="002003EA" w:rsidRPr="00515732">
              <w:rPr>
                <w:rStyle w:val="Hyperlink"/>
              </w:rPr>
              <w:t xml:space="preserve">KUGLUKTUK | </w:t>
            </w:r>
            <w:r w:rsidR="002003EA" w:rsidRPr="00515732">
              <w:rPr>
                <w:rStyle w:val="Hyperlink"/>
                <w:rFonts w:ascii="Gadugi" w:hAnsi="Gadugi"/>
              </w:rPr>
              <w:t>ᑯᒡᓗᒃᑐᒃ</w:t>
            </w:r>
            <w:r w:rsidR="002003EA" w:rsidRPr="00515732">
              <w:rPr>
                <w:rStyle w:val="Hyperlink"/>
              </w:rPr>
              <w:t xml:space="preserve"> | COPPERMINE (MISE EN CANDIDATURE)</w:t>
            </w:r>
            <w:r w:rsidR="002003EA">
              <w:rPr>
                <w:webHidden/>
              </w:rPr>
              <w:tab/>
            </w:r>
            <w:r w:rsidR="002003EA">
              <w:rPr>
                <w:webHidden/>
              </w:rPr>
              <w:fldChar w:fldCharType="begin"/>
            </w:r>
            <w:r w:rsidR="002003EA">
              <w:rPr>
                <w:webHidden/>
              </w:rPr>
              <w:instrText xml:space="preserve"> PAGEREF _Toc184297266 \h </w:instrText>
            </w:r>
            <w:r w:rsidR="002003EA">
              <w:rPr>
                <w:webHidden/>
              </w:rPr>
            </w:r>
            <w:r w:rsidR="002003EA">
              <w:rPr>
                <w:webHidden/>
              </w:rPr>
              <w:fldChar w:fldCharType="separate"/>
            </w:r>
            <w:r w:rsidR="002003EA">
              <w:rPr>
                <w:webHidden/>
              </w:rPr>
              <w:t>9</w:t>
            </w:r>
            <w:r w:rsidR="002003EA">
              <w:rPr>
                <w:webHidden/>
              </w:rPr>
              <w:fldChar w:fldCharType="end"/>
            </w:r>
          </w:hyperlink>
        </w:p>
        <w:p w14:paraId="5B37641D" w14:textId="572BEFC0"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7" w:history="1">
            <w:r w:rsidR="002003EA" w:rsidRPr="00515732">
              <w:rPr>
                <w:rStyle w:val="Hyperlink"/>
              </w:rPr>
              <w:t xml:space="preserve">KUUJJUAQ | </w:t>
            </w:r>
            <w:r w:rsidR="002003EA" w:rsidRPr="00515732">
              <w:rPr>
                <w:rStyle w:val="Hyperlink"/>
                <w:rFonts w:ascii="Gadugi" w:hAnsi="Gadugi"/>
              </w:rPr>
              <w:t>ᑳᔾᔪᐊᖅ</w:t>
            </w:r>
            <w:r w:rsidR="002003EA" w:rsidRPr="00515732">
              <w:rPr>
                <w:rStyle w:val="Hyperlink"/>
              </w:rPr>
              <w:t xml:space="preserve"> | SOPER</w:t>
            </w:r>
            <w:r w:rsidR="002003EA">
              <w:rPr>
                <w:webHidden/>
              </w:rPr>
              <w:tab/>
            </w:r>
            <w:r w:rsidR="002003EA">
              <w:rPr>
                <w:webHidden/>
              </w:rPr>
              <w:fldChar w:fldCharType="begin"/>
            </w:r>
            <w:r w:rsidR="002003EA">
              <w:rPr>
                <w:webHidden/>
              </w:rPr>
              <w:instrText xml:space="preserve"> PAGEREF _Toc184297267 \h </w:instrText>
            </w:r>
            <w:r w:rsidR="002003EA">
              <w:rPr>
                <w:webHidden/>
              </w:rPr>
            </w:r>
            <w:r w:rsidR="002003EA">
              <w:rPr>
                <w:webHidden/>
              </w:rPr>
              <w:fldChar w:fldCharType="separate"/>
            </w:r>
            <w:r w:rsidR="002003EA">
              <w:rPr>
                <w:webHidden/>
              </w:rPr>
              <w:t>9</w:t>
            </w:r>
            <w:r w:rsidR="002003EA">
              <w:rPr>
                <w:webHidden/>
              </w:rPr>
              <w:fldChar w:fldCharType="end"/>
            </w:r>
          </w:hyperlink>
        </w:p>
        <w:p w14:paraId="7708864C" w14:textId="2F8B73A3"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8" w:history="1">
            <w:r w:rsidR="002003EA" w:rsidRPr="00515732">
              <w:rPr>
                <w:rStyle w:val="Hyperlink"/>
              </w:rPr>
              <w:t>LISTUGUJ | HAUTE-RESTIGOUCHE</w:t>
            </w:r>
            <w:r w:rsidR="002003EA">
              <w:rPr>
                <w:webHidden/>
              </w:rPr>
              <w:tab/>
            </w:r>
            <w:r w:rsidR="002003EA">
              <w:rPr>
                <w:webHidden/>
              </w:rPr>
              <w:fldChar w:fldCharType="begin"/>
            </w:r>
            <w:r w:rsidR="002003EA">
              <w:rPr>
                <w:webHidden/>
              </w:rPr>
              <w:instrText xml:space="preserve"> PAGEREF _Toc184297268 \h </w:instrText>
            </w:r>
            <w:r w:rsidR="002003EA">
              <w:rPr>
                <w:webHidden/>
              </w:rPr>
            </w:r>
            <w:r w:rsidR="002003EA">
              <w:rPr>
                <w:webHidden/>
              </w:rPr>
              <w:fldChar w:fldCharType="separate"/>
            </w:r>
            <w:r w:rsidR="002003EA">
              <w:rPr>
                <w:webHidden/>
              </w:rPr>
              <w:t>10</w:t>
            </w:r>
            <w:r w:rsidR="002003EA">
              <w:rPr>
                <w:webHidden/>
              </w:rPr>
              <w:fldChar w:fldCharType="end"/>
            </w:r>
          </w:hyperlink>
        </w:p>
        <w:p w14:paraId="1D1502AE" w14:textId="27CF0ED4"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69" w:history="1">
            <w:r w:rsidR="002003EA" w:rsidRPr="00515732">
              <w:rPr>
                <w:rStyle w:val="Hyperlink"/>
              </w:rPr>
              <w:t>MATTAWA</w:t>
            </w:r>
            <w:r w:rsidR="002003EA">
              <w:rPr>
                <w:webHidden/>
              </w:rPr>
              <w:tab/>
            </w:r>
            <w:r w:rsidR="002003EA">
              <w:rPr>
                <w:webHidden/>
              </w:rPr>
              <w:fldChar w:fldCharType="begin"/>
            </w:r>
            <w:r w:rsidR="002003EA">
              <w:rPr>
                <w:webHidden/>
              </w:rPr>
              <w:instrText xml:space="preserve"> PAGEREF _Toc184297269 \h </w:instrText>
            </w:r>
            <w:r w:rsidR="002003EA">
              <w:rPr>
                <w:webHidden/>
              </w:rPr>
            </w:r>
            <w:r w:rsidR="002003EA">
              <w:rPr>
                <w:webHidden/>
              </w:rPr>
              <w:fldChar w:fldCharType="separate"/>
            </w:r>
            <w:r w:rsidR="002003EA">
              <w:rPr>
                <w:webHidden/>
              </w:rPr>
              <w:t>10</w:t>
            </w:r>
            <w:r w:rsidR="002003EA">
              <w:rPr>
                <w:webHidden/>
              </w:rPr>
              <w:fldChar w:fldCharType="end"/>
            </w:r>
          </w:hyperlink>
        </w:p>
        <w:p w14:paraId="4A14846F" w14:textId="05BC5D9E"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0" w:history="1">
            <w:r w:rsidR="002003EA" w:rsidRPr="00515732">
              <w:rPr>
                <w:rStyle w:val="Hyperlink"/>
              </w:rPr>
              <w:t>MISKWEWESIBI | MISKWEYAABIZIIBEE | BLOODVEIN (MANITOBA)</w:t>
            </w:r>
            <w:r w:rsidR="002003EA">
              <w:rPr>
                <w:webHidden/>
              </w:rPr>
              <w:tab/>
            </w:r>
            <w:r w:rsidR="002003EA">
              <w:rPr>
                <w:webHidden/>
              </w:rPr>
              <w:fldChar w:fldCharType="begin"/>
            </w:r>
            <w:r w:rsidR="002003EA">
              <w:rPr>
                <w:webHidden/>
              </w:rPr>
              <w:instrText xml:space="preserve"> PAGEREF _Toc184297270 \h </w:instrText>
            </w:r>
            <w:r w:rsidR="002003EA">
              <w:rPr>
                <w:webHidden/>
              </w:rPr>
            </w:r>
            <w:r w:rsidR="002003EA">
              <w:rPr>
                <w:webHidden/>
              </w:rPr>
              <w:fldChar w:fldCharType="separate"/>
            </w:r>
            <w:r w:rsidR="002003EA">
              <w:rPr>
                <w:webHidden/>
              </w:rPr>
              <w:t>10</w:t>
            </w:r>
            <w:r w:rsidR="002003EA">
              <w:rPr>
                <w:webHidden/>
              </w:rPr>
              <w:fldChar w:fldCharType="end"/>
            </w:r>
          </w:hyperlink>
        </w:p>
        <w:p w14:paraId="10296B25" w14:textId="1278E9B0"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1" w:history="1">
            <w:r w:rsidR="002003EA" w:rsidRPr="00515732">
              <w:rPr>
                <w:rStyle w:val="Hyperlink"/>
              </w:rPr>
              <w:t>MISSINAIBI</w:t>
            </w:r>
            <w:r w:rsidR="002003EA">
              <w:rPr>
                <w:webHidden/>
              </w:rPr>
              <w:tab/>
            </w:r>
            <w:r w:rsidR="002003EA">
              <w:rPr>
                <w:webHidden/>
              </w:rPr>
              <w:fldChar w:fldCharType="begin"/>
            </w:r>
            <w:r w:rsidR="002003EA">
              <w:rPr>
                <w:webHidden/>
              </w:rPr>
              <w:instrText xml:space="preserve"> PAGEREF _Toc184297271 \h </w:instrText>
            </w:r>
            <w:r w:rsidR="002003EA">
              <w:rPr>
                <w:webHidden/>
              </w:rPr>
            </w:r>
            <w:r w:rsidR="002003EA">
              <w:rPr>
                <w:webHidden/>
              </w:rPr>
              <w:fldChar w:fldCharType="separate"/>
            </w:r>
            <w:r w:rsidR="002003EA">
              <w:rPr>
                <w:webHidden/>
              </w:rPr>
              <w:t>11</w:t>
            </w:r>
            <w:r w:rsidR="002003EA">
              <w:rPr>
                <w:webHidden/>
              </w:rPr>
              <w:fldChar w:fldCharType="end"/>
            </w:r>
          </w:hyperlink>
        </w:p>
        <w:p w14:paraId="20003599" w14:textId="2B01D0C0"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2" w:history="1">
            <w:r w:rsidR="002003EA" w:rsidRPr="00515732">
              <w:rPr>
                <w:rStyle w:val="Hyperlink"/>
              </w:rPr>
              <w:t>NAHʔĄ DEHÉ | NAHANNI SUD</w:t>
            </w:r>
            <w:r w:rsidR="002003EA">
              <w:rPr>
                <w:webHidden/>
              </w:rPr>
              <w:tab/>
            </w:r>
            <w:r w:rsidR="002003EA">
              <w:rPr>
                <w:webHidden/>
              </w:rPr>
              <w:fldChar w:fldCharType="begin"/>
            </w:r>
            <w:r w:rsidR="002003EA">
              <w:rPr>
                <w:webHidden/>
              </w:rPr>
              <w:instrText xml:space="preserve"> PAGEREF _Toc184297272 \h </w:instrText>
            </w:r>
            <w:r w:rsidR="002003EA">
              <w:rPr>
                <w:webHidden/>
              </w:rPr>
            </w:r>
            <w:r w:rsidR="002003EA">
              <w:rPr>
                <w:webHidden/>
              </w:rPr>
              <w:fldChar w:fldCharType="separate"/>
            </w:r>
            <w:r w:rsidR="002003EA">
              <w:rPr>
                <w:webHidden/>
              </w:rPr>
              <w:t>11</w:t>
            </w:r>
            <w:r w:rsidR="002003EA">
              <w:rPr>
                <w:webHidden/>
              </w:rPr>
              <w:fldChar w:fldCharType="end"/>
            </w:r>
          </w:hyperlink>
        </w:p>
        <w:p w14:paraId="4314E92D" w14:textId="75A9C993"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3" w:history="1">
            <w:r w:rsidR="002003EA" w:rsidRPr="00515732">
              <w:rPr>
                <w:rStyle w:val="Hyperlink"/>
              </w:rPr>
              <w:t>SASKATCHEWAN NORD (PARC NATIONAL BANFF)</w:t>
            </w:r>
            <w:r w:rsidR="002003EA">
              <w:rPr>
                <w:webHidden/>
              </w:rPr>
              <w:tab/>
            </w:r>
            <w:r w:rsidR="002003EA">
              <w:rPr>
                <w:webHidden/>
              </w:rPr>
              <w:fldChar w:fldCharType="begin"/>
            </w:r>
            <w:r w:rsidR="002003EA">
              <w:rPr>
                <w:webHidden/>
              </w:rPr>
              <w:instrText xml:space="preserve"> PAGEREF _Toc184297273 \h </w:instrText>
            </w:r>
            <w:r w:rsidR="002003EA">
              <w:rPr>
                <w:webHidden/>
              </w:rPr>
            </w:r>
            <w:r w:rsidR="002003EA">
              <w:rPr>
                <w:webHidden/>
              </w:rPr>
              <w:fldChar w:fldCharType="separate"/>
            </w:r>
            <w:r w:rsidR="002003EA">
              <w:rPr>
                <w:webHidden/>
              </w:rPr>
              <w:t>11</w:t>
            </w:r>
            <w:r w:rsidR="002003EA">
              <w:rPr>
                <w:webHidden/>
              </w:rPr>
              <w:fldChar w:fldCharType="end"/>
            </w:r>
          </w:hyperlink>
        </w:p>
        <w:p w14:paraId="14423ED7" w14:textId="68BF5B10"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4" w:history="1">
            <w:r w:rsidR="002003EA" w:rsidRPr="00515732">
              <w:rPr>
                <w:rStyle w:val="Hyperlink"/>
              </w:rPr>
              <w:t>QUW’UTSUN | COWICHAN</w:t>
            </w:r>
            <w:r w:rsidR="002003EA">
              <w:rPr>
                <w:webHidden/>
              </w:rPr>
              <w:tab/>
            </w:r>
            <w:r w:rsidR="002003EA">
              <w:rPr>
                <w:webHidden/>
              </w:rPr>
              <w:fldChar w:fldCharType="begin"/>
            </w:r>
            <w:r w:rsidR="002003EA">
              <w:rPr>
                <w:webHidden/>
              </w:rPr>
              <w:instrText xml:space="preserve"> PAGEREF _Toc184297274 \h </w:instrText>
            </w:r>
            <w:r w:rsidR="002003EA">
              <w:rPr>
                <w:webHidden/>
              </w:rPr>
            </w:r>
            <w:r w:rsidR="002003EA">
              <w:rPr>
                <w:webHidden/>
              </w:rPr>
              <w:fldChar w:fldCharType="separate"/>
            </w:r>
            <w:r w:rsidR="002003EA">
              <w:rPr>
                <w:webHidden/>
              </w:rPr>
              <w:t>11</w:t>
            </w:r>
            <w:r w:rsidR="002003EA">
              <w:rPr>
                <w:webHidden/>
              </w:rPr>
              <w:fldChar w:fldCharType="end"/>
            </w:r>
          </w:hyperlink>
        </w:p>
        <w:p w14:paraId="4C716944" w14:textId="3E184C1A"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5" w:history="1">
            <w:r w:rsidR="002003EA" w:rsidRPr="00515732">
              <w:rPr>
                <w:rStyle w:val="Hyperlink"/>
              </w:rPr>
              <w:t>ROUGE</w:t>
            </w:r>
            <w:r w:rsidR="002003EA">
              <w:rPr>
                <w:webHidden/>
              </w:rPr>
              <w:tab/>
            </w:r>
            <w:r w:rsidR="002003EA">
              <w:rPr>
                <w:webHidden/>
              </w:rPr>
              <w:fldChar w:fldCharType="begin"/>
            </w:r>
            <w:r w:rsidR="002003EA">
              <w:rPr>
                <w:webHidden/>
              </w:rPr>
              <w:instrText xml:space="preserve"> PAGEREF _Toc184297275 \h </w:instrText>
            </w:r>
            <w:r w:rsidR="002003EA">
              <w:rPr>
                <w:webHidden/>
              </w:rPr>
            </w:r>
            <w:r w:rsidR="002003EA">
              <w:rPr>
                <w:webHidden/>
              </w:rPr>
              <w:fldChar w:fldCharType="separate"/>
            </w:r>
            <w:r w:rsidR="002003EA">
              <w:rPr>
                <w:webHidden/>
              </w:rPr>
              <w:t>12</w:t>
            </w:r>
            <w:r w:rsidR="002003EA">
              <w:rPr>
                <w:webHidden/>
              </w:rPr>
              <w:fldChar w:fldCharType="end"/>
            </w:r>
          </w:hyperlink>
        </w:p>
        <w:p w14:paraId="35E02128" w14:textId="08C0289F"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6" w:history="1">
            <w:r w:rsidR="002003EA" w:rsidRPr="00515732">
              <w:rPr>
                <w:rStyle w:val="Hyperlink"/>
              </w:rPr>
              <w:t>RIDEAU</w:t>
            </w:r>
            <w:r w:rsidR="002003EA">
              <w:rPr>
                <w:webHidden/>
              </w:rPr>
              <w:tab/>
            </w:r>
            <w:r w:rsidR="002003EA">
              <w:rPr>
                <w:webHidden/>
              </w:rPr>
              <w:fldChar w:fldCharType="begin"/>
            </w:r>
            <w:r w:rsidR="002003EA">
              <w:rPr>
                <w:webHidden/>
              </w:rPr>
              <w:instrText xml:space="preserve"> PAGEREF _Toc184297276 \h </w:instrText>
            </w:r>
            <w:r w:rsidR="002003EA">
              <w:rPr>
                <w:webHidden/>
              </w:rPr>
            </w:r>
            <w:r w:rsidR="002003EA">
              <w:rPr>
                <w:webHidden/>
              </w:rPr>
              <w:fldChar w:fldCharType="separate"/>
            </w:r>
            <w:r w:rsidR="002003EA">
              <w:rPr>
                <w:webHidden/>
              </w:rPr>
              <w:t>12</w:t>
            </w:r>
            <w:r w:rsidR="002003EA">
              <w:rPr>
                <w:webHidden/>
              </w:rPr>
              <w:fldChar w:fldCharType="end"/>
            </w:r>
          </w:hyperlink>
        </w:p>
        <w:p w14:paraId="7264D1FF" w14:textId="2E94DBD7"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7" w:history="1">
            <w:r w:rsidR="002003EA" w:rsidRPr="00515732">
              <w:rPr>
                <w:rStyle w:val="Hyperlink"/>
              </w:rPr>
              <w:t>STE-MARIE</w:t>
            </w:r>
            <w:r w:rsidR="002003EA">
              <w:rPr>
                <w:webHidden/>
              </w:rPr>
              <w:tab/>
            </w:r>
            <w:r w:rsidR="002003EA">
              <w:rPr>
                <w:webHidden/>
              </w:rPr>
              <w:fldChar w:fldCharType="begin"/>
            </w:r>
            <w:r w:rsidR="002003EA">
              <w:rPr>
                <w:webHidden/>
              </w:rPr>
              <w:instrText xml:space="preserve"> PAGEREF _Toc184297277 \h </w:instrText>
            </w:r>
            <w:r w:rsidR="002003EA">
              <w:rPr>
                <w:webHidden/>
              </w:rPr>
            </w:r>
            <w:r w:rsidR="002003EA">
              <w:rPr>
                <w:webHidden/>
              </w:rPr>
              <w:fldChar w:fldCharType="separate"/>
            </w:r>
            <w:r w:rsidR="002003EA">
              <w:rPr>
                <w:webHidden/>
              </w:rPr>
              <w:t>12</w:t>
            </w:r>
            <w:r w:rsidR="002003EA">
              <w:rPr>
                <w:webHidden/>
              </w:rPr>
              <w:fldChar w:fldCharType="end"/>
            </w:r>
          </w:hyperlink>
        </w:p>
        <w:p w14:paraId="20D91501" w14:textId="6691DD09"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8" w:history="1">
            <w:r w:rsidR="002003EA" w:rsidRPr="00515732">
              <w:rPr>
                <w:rStyle w:val="Hyperlink"/>
              </w:rPr>
              <w:t>TÄGÀ SHÄW | THIRTY MILE</w:t>
            </w:r>
            <w:r w:rsidR="002003EA">
              <w:rPr>
                <w:webHidden/>
              </w:rPr>
              <w:tab/>
            </w:r>
            <w:r w:rsidR="002003EA">
              <w:rPr>
                <w:webHidden/>
              </w:rPr>
              <w:fldChar w:fldCharType="begin"/>
            </w:r>
            <w:r w:rsidR="002003EA">
              <w:rPr>
                <w:webHidden/>
              </w:rPr>
              <w:instrText xml:space="preserve"> PAGEREF _Toc184297278 \h </w:instrText>
            </w:r>
            <w:r w:rsidR="002003EA">
              <w:rPr>
                <w:webHidden/>
              </w:rPr>
            </w:r>
            <w:r w:rsidR="002003EA">
              <w:rPr>
                <w:webHidden/>
              </w:rPr>
              <w:fldChar w:fldCharType="separate"/>
            </w:r>
            <w:r w:rsidR="002003EA">
              <w:rPr>
                <w:webHidden/>
              </w:rPr>
              <w:t>13</w:t>
            </w:r>
            <w:r w:rsidR="002003EA">
              <w:rPr>
                <w:webHidden/>
              </w:rPr>
              <w:fldChar w:fldCharType="end"/>
            </w:r>
          </w:hyperlink>
        </w:p>
        <w:p w14:paraId="43079A75" w14:textId="4A0ABE99"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79" w:history="1">
            <w:r w:rsidR="002003EA" w:rsidRPr="00515732">
              <w:rPr>
                <w:rStyle w:val="Hyperlink"/>
              </w:rPr>
              <w:t>TATSHENSHINI | SHÄWSHE CHÙ</w:t>
            </w:r>
            <w:r w:rsidR="002003EA">
              <w:rPr>
                <w:webHidden/>
              </w:rPr>
              <w:tab/>
            </w:r>
            <w:r w:rsidR="002003EA">
              <w:rPr>
                <w:webHidden/>
              </w:rPr>
              <w:fldChar w:fldCharType="begin"/>
            </w:r>
            <w:r w:rsidR="002003EA">
              <w:rPr>
                <w:webHidden/>
              </w:rPr>
              <w:instrText xml:space="preserve"> PAGEREF _Toc184297279 \h </w:instrText>
            </w:r>
            <w:r w:rsidR="002003EA">
              <w:rPr>
                <w:webHidden/>
              </w:rPr>
            </w:r>
            <w:r w:rsidR="002003EA">
              <w:rPr>
                <w:webHidden/>
              </w:rPr>
              <w:fldChar w:fldCharType="separate"/>
            </w:r>
            <w:r w:rsidR="002003EA">
              <w:rPr>
                <w:webHidden/>
              </w:rPr>
              <w:t>13</w:t>
            </w:r>
            <w:r w:rsidR="002003EA">
              <w:rPr>
                <w:webHidden/>
              </w:rPr>
              <w:fldChar w:fldCharType="end"/>
            </w:r>
          </w:hyperlink>
        </w:p>
        <w:p w14:paraId="15BD6534" w14:textId="4396104D"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80" w:history="1">
            <w:r w:rsidR="002003EA" w:rsidRPr="00515732">
              <w:rPr>
                <w:rStyle w:val="Hyperlink"/>
              </w:rPr>
              <w:t>TSAIH TL'AK NJIK | BONNET PLUME</w:t>
            </w:r>
            <w:r w:rsidR="002003EA">
              <w:rPr>
                <w:webHidden/>
              </w:rPr>
              <w:tab/>
            </w:r>
            <w:r w:rsidR="002003EA">
              <w:rPr>
                <w:webHidden/>
              </w:rPr>
              <w:fldChar w:fldCharType="begin"/>
            </w:r>
            <w:r w:rsidR="002003EA">
              <w:rPr>
                <w:webHidden/>
              </w:rPr>
              <w:instrText xml:space="preserve"> PAGEREF _Toc184297280 \h </w:instrText>
            </w:r>
            <w:r w:rsidR="002003EA">
              <w:rPr>
                <w:webHidden/>
              </w:rPr>
            </w:r>
            <w:r w:rsidR="002003EA">
              <w:rPr>
                <w:webHidden/>
              </w:rPr>
              <w:fldChar w:fldCharType="separate"/>
            </w:r>
            <w:r w:rsidR="002003EA">
              <w:rPr>
                <w:webHidden/>
              </w:rPr>
              <w:t>13</w:t>
            </w:r>
            <w:r w:rsidR="002003EA">
              <w:rPr>
                <w:webHidden/>
              </w:rPr>
              <w:fldChar w:fldCharType="end"/>
            </w:r>
          </w:hyperlink>
        </w:p>
        <w:p w14:paraId="1DE0488B" w14:textId="69DF5A58" w:rsidR="002003EA" w:rsidRDefault="0053646D">
          <w:pPr>
            <w:pStyle w:val="TOC2"/>
            <w:rPr>
              <w:rFonts w:asciiTheme="minorHAnsi" w:eastAsiaTheme="minorEastAsia" w:hAnsiTheme="minorHAnsi" w:cstheme="minorBidi"/>
              <w:color w:val="auto"/>
              <w:kern w:val="2"/>
              <w:sz w:val="22"/>
              <w:lang w:val="en-CA" w:eastAsia="en-CA"/>
              <w14:ligatures w14:val="standardContextual"/>
            </w:rPr>
          </w:pPr>
          <w:hyperlink w:anchor="_Toc184297281" w:history="1">
            <w:r w:rsidR="002003EA" w:rsidRPr="00515732">
              <w:rPr>
                <w:rStyle w:val="Hyperlink"/>
              </w:rPr>
              <w:t>TSIIGEHNJIK | ARCTIC RED</w:t>
            </w:r>
            <w:r w:rsidR="002003EA">
              <w:rPr>
                <w:webHidden/>
              </w:rPr>
              <w:tab/>
            </w:r>
            <w:r w:rsidR="002003EA">
              <w:rPr>
                <w:webHidden/>
              </w:rPr>
              <w:fldChar w:fldCharType="begin"/>
            </w:r>
            <w:r w:rsidR="002003EA">
              <w:rPr>
                <w:webHidden/>
              </w:rPr>
              <w:instrText xml:space="preserve"> PAGEREF _Toc184297281 \h </w:instrText>
            </w:r>
            <w:r w:rsidR="002003EA">
              <w:rPr>
                <w:webHidden/>
              </w:rPr>
            </w:r>
            <w:r w:rsidR="002003EA">
              <w:rPr>
                <w:webHidden/>
              </w:rPr>
              <w:fldChar w:fldCharType="separate"/>
            </w:r>
            <w:r w:rsidR="002003EA">
              <w:rPr>
                <w:webHidden/>
              </w:rPr>
              <w:t>14</w:t>
            </w:r>
            <w:r w:rsidR="002003EA">
              <w:rPr>
                <w:webHidden/>
              </w:rPr>
              <w:fldChar w:fldCharType="end"/>
            </w:r>
          </w:hyperlink>
        </w:p>
        <w:p w14:paraId="380D3495" w14:textId="404BCF5E" w:rsidR="00B11B1F" w:rsidRDefault="005F3731" w:rsidP="009A6ACC">
          <w:pPr>
            <w:ind w:left="0" w:firstLine="0"/>
          </w:pPr>
          <w:r>
            <w:rPr>
              <w:b/>
            </w:rPr>
            <w:fldChar w:fldCharType="end"/>
          </w:r>
        </w:p>
      </w:sdtContent>
    </w:sdt>
    <w:p w14:paraId="1EEA0EEA" w14:textId="77777777" w:rsidR="009A6ACC" w:rsidRDefault="009A6ACC" w:rsidP="000D2FBD">
      <w:pPr>
        <w:pStyle w:val="Heading2"/>
        <w:jc w:val="center"/>
      </w:pPr>
    </w:p>
    <w:p w14:paraId="654431C0" w14:textId="10CD2BF2" w:rsidR="009A6ACC" w:rsidRDefault="009A6ACC" w:rsidP="000D2FBD">
      <w:pPr>
        <w:pStyle w:val="Heading2"/>
        <w:jc w:val="center"/>
      </w:pPr>
    </w:p>
    <w:p w14:paraId="2A1B903F" w14:textId="7E79969A" w:rsidR="009A6ACC" w:rsidRDefault="009A6ACC" w:rsidP="009A6ACC"/>
    <w:p w14:paraId="19938A5C" w14:textId="77777777" w:rsidR="009A6ACC" w:rsidRPr="009A6ACC" w:rsidRDefault="009A6ACC" w:rsidP="009A6ACC"/>
    <w:p w14:paraId="6DA70F1E" w14:textId="54C6AF69" w:rsidR="00275958" w:rsidRDefault="006104DA" w:rsidP="000D2FBD">
      <w:pPr>
        <w:pStyle w:val="Heading2"/>
        <w:jc w:val="center"/>
      </w:pPr>
      <w:bookmarkStart w:id="0" w:name="_Toc184297251"/>
      <w:r>
        <w:t>SOMMAIRE</w:t>
      </w:r>
      <w:bookmarkEnd w:id="0"/>
    </w:p>
    <w:p w14:paraId="3CFBEDAE" w14:textId="77777777" w:rsidR="00E762C5" w:rsidRDefault="00E762C5" w:rsidP="00E762C5"/>
    <w:p w14:paraId="27DA08C0" w14:textId="6876468B" w:rsidR="006104DA" w:rsidRPr="006104DA" w:rsidRDefault="006104DA" w:rsidP="00E762C5">
      <w:r>
        <w:t xml:space="preserve">Le présent résumé des rapports de surveillance annuels de 2022 rassemble des renseignements et des mises à jour clés portant sur les rivières du patrimoine canadien pour l’année 2022. L’information qu’il contient est tirée des rapports de surveillance annuels individuels* produits en 2022 par les gestionnaires de rivières du patrimoine canadien. </w:t>
      </w:r>
      <w:r>
        <w:br/>
      </w:r>
      <w:r>
        <w:br/>
        <w:t xml:space="preserve">Quelques thèmes communs ont été relevés dans les différents rapports de surveillance annuels de 2022, comme le retour des visiteurs à la suite de la levée des restrictions liées à la COVID-19, les modifications des niveaux d’eau causées par les changements climatiques (inondations, sécheresses), les activités traditionnelles de récolte et de pêche, et la gestion des espèces aquatiques envahissantes. </w:t>
      </w:r>
      <w:r>
        <w:br/>
      </w:r>
    </w:p>
    <w:p w14:paraId="019BC93C" w14:textId="3E7359CB" w:rsidR="006104DA" w:rsidRDefault="00162F13" w:rsidP="00E762C5">
      <w:r>
        <w:t xml:space="preserve">Parmi les menaces communes mentionnées dans plusieurs rapports annuels figurent la prospection minérale, les modifications des niveaux d’eau et la </w:t>
      </w:r>
      <w:proofErr w:type="spellStart"/>
      <w:r>
        <w:t>surfréquentation</w:t>
      </w:r>
      <w:proofErr w:type="spellEnd"/>
      <w:r>
        <w:t>. Ces menaces n’obligeront pas, pour l’instant, à modifier des mises en candidature ou des désignations de rivières du patrimoine canadien, mais il faudra continuer de surveiller leurs effets et de les atténuer, dans la mesure du possible, dans les années à venir.</w:t>
      </w:r>
    </w:p>
    <w:p w14:paraId="5083A377" w14:textId="77777777" w:rsidR="006104DA" w:rsidRDefault="006104DA" w:rsidP="00E762C5"/>
    <w:p w14:paraId="6522ED90" w14:textId="77777777" w:rsidR="006104DA" w:rsidRDefault="006104DA" w:rsidP="00E762C5"/>
    <w:p w14:paraId="080090BF" w14:textId="77777777" w:rsidR="006104DA" w:rsidRDefault="006104DA" w:rsidP="00E762C5"/>
    <w:p w14:paraId="18BDA44A" w14:textId="77777777" w:rsidR="006104DA" w:rsidRDefault="006104DA" w:rsidP="00E762C5"/>
    <w:p w14:paraId="3E546780" w14:textId="77777777" w:rsidR="006104DA" w:rsidRDefault="006104DA" w:rsidP="00E762C5"/>
    <w:p w14:paraId="47137151" w14:textId="77777777" w:rsidR="006104DA" w:rsidRDefault="006104DA" w:rsidP="00E762C5"/>
    <w:p w14:paraId="4FEF05C5" w14:textId="77777777" w:rsidR="006104DA" w:rsidRDefault="006104DA" w:rsidP="00E762C5"/>
    <w:p w14:paraId="1FBD2C23" w14:textId="77777777" w:rsidR="006104DA" w:rsidRDefault="006104DA" w:rsidP="00E762C5"/>
    <w:p w14:paraId="3752FED3" w14:textId="77777777" w:rsidR="006104DA" w:rsidRDefault="006104DA" w:rsidP="00E762C5"/>
    <w:p w14:paraId="0606C2C4" w14:textId="77777777" w:rsidR="006104DA" w:rsidRDefault="006104DA" w:rsidP="00E762C5"/>
    <w:p w14:paraId="4C6A9213" w14:textId="77777777" w:rsidR="006104DA" w:rsidRDefault="006104DA" w:rsidP="00E762C5"/>
    <w:p w14:paraId="2F72B793" w14:textId="77777777" w:rsidR="006104DA" w:rsidRDefault="006104DA" w:rsidP="00E762C5"/>
    <w:p w14:paraId="5EF93F9E" w14:textId="77777777" w:rsidR="00435465" w:rsidRDefault="00435465" w:rsidP="00E762C5"/>
    <w:p w14:paraId="1B0A799A" w14:textId="77777777" w:rsidR="00435465" w:rsidRDefault="00435465" w:rsidP="00E762C5"/>
    <w:p w14:paraId="7BE7BD51" w14:textId="77777777" w:rsidR="006104DA" w:rsidRDefault="006104DA" w:rsidP="00E762C5"/>
    <w:p w14:paraId="0456CB5C" w14:textId="005500A1" w:rsidR="006104DA" w:rsidRDefault="00435465" w:rsidP="00E762C5">
      <w:r>
        <w:br/>
      </w:r>
    </w:p>
    <w:p w14:paraId="10C43083" w14:textId="77777777" w:rsidR="006104DA" w:rsidRDefault="006104DA" w:rsidP="00E762C5"/>
    <w:p w14:paraId="5185CBE2" w14:textId="77777777" w:rsidR="006104DA" w:rsidRDefault="006104DA" w:rsidP="00E762C5"/>
    <w:p w14:paraId="14EB8315" w14:textId="77777777" w:rsidR="006104DA" w:rsidRDefault="006104DA" w:rsidP="00E762C5"/>
    <w:p w14:paraId="2A107846" w14:textId="77777777" w:rsidR="00435465" w:rsidRDefault="00435465" w:rsidP="00E762C5"/>
    <w:p w14:paraId="54E2DF62" w14:textId="2EF85C7C" w:rsidR="000D2FBD" w:rsidRPr="00435465" w:rsidRDefault="00435465" w:rsidP="00435465">
      <w:pPr>
        <w:rPr>
          <w:i/>
          <w:sz w:val="20"/>
        </w:rPr>
      </w:pPr>
      <w:r>
        <w:rPr>
          <w:i/>
          <w:sz w:val="20"/>
        </w:rPr>
        <w:t>*Certains rapports annuels sur des rivières du patrimoine n’ont pas été soumis en 2022. Le présent rapport contient des renseignements provenant des rapports qui ont été rédigés et soumis.</w:t>
      </w:r>
    </w:p>
    <w:tbl>
      <w:tblPr>
        <w:tblStyle w:val="TableGrid"/>
        <w:tblW w:w="9180" w:type="dxa"/>
        <w:tblInd w:w="25" w:type="dxa"/>
        <w:tblCellMar>
          <w:top w:w="81" w:type="dxa"/>
          <w:left w:w="335" w:type="dxa"/>
          <w:right w:w="108" w:type="dxa"/>
        </w:tblCellMar>
        <w:tblLook w:val="04A0" w:firstRow="1" w:lastRow="0" w:firstColumn="1" w:lastColumn="0" w:noHBand="0" w:noVBand="1"/>
      </w:tblPr>
      <w:tblGrid>
        <w:gridCol w:w="9180"/>
      </w:tblGrid>
      <w:tr w:rsidR="008C7EDC" w14:paraId="360E63A0" w14:textId="77777777" w:rsidTr="00E468C3">
        <w:trPr>
          <w:trHeight w:val="441"/>
        </w:trPr>
        <w:tc>
          <w:tcPr>
            <w:tcW w:w="9180" w:type="dxa"/>
            <w:shd w:val="clear" w:color="auto" w:fill="DEEAF6" w:themeFill="accent1" w:themeFillTint="33"/>
          </w:tcPr>
          <w:p w14:paraId="4C60BBB8" w14:textId="77777777" w:rsidR="008C7EDC" w:rsidRDefault="008C7EDC" w:rsidP="0040558F">
            <w:pPr>
              <w:pStyle w:val="Heading2"/>
              <w:ind w:left="0" w:firstLine="0"/>
              <w:jc w:val="center"/>
            </w:pPr>
            <w:bookmarkStart w:id="1" w:name="_Toc184297252"/>
            <w:r>
              <w:lastRenderedPageBreak/>
              <w:t>ATHABASCA</w:t>
            </w:r>
            <w:bookmarkEnd w:id="1"/>
          </w:p>
        </w:tc>
      </w:tr>
      <w:tr w:rsidR="008C7EDC" w14:paraId="5C8394AF" w14:textId="77777777" w:rsidTr="00E468C3">
        <w:trPr>
          <w:trHeight w:val="1597"/>
        </w:trPr>
        <w:tc>
          <w:tcPr>
            <w:tcW w:w="9180" w:type="dxa"/>
          </w:tcPr>
          <w:p w14:paraId="3556CEA2" w14:textId="77777777" w:rsidR="008C7EDC" w:rsidRDefault="00374531" w:rsidP="0040558F">
            <w:pPr>
              <w:spacing w:after="0" w:line="259" w:lineRule="auto"/>
              <w:ind w:left="0" w:firstLine="0"/>
            </w:pPr>
            <w:r>
              <w:t>Le tronçon de la rivière Athabasca situé à l’intérieur du parc national Jasper reste en bonne santé écologique en tant que rivière d’amont des Rocheuses canadiennes. En 2022, Parcs Canada s’est engagé à préparer de nouvelles mesures de conservation et de prévention pour protéger la rivière de la menace que représentent les espèces aquatiques envahissantes.</w:t>
            </w:r>
          </w:p>
          <w:p w14:paraId="6110CC89" w14:textId="0A98B041" w:rsidR="00242263" w:rsidRDefault="00242263" w:rsidP="0040558F">
            <w:pPr>
              <w:spacing w:after="0" w:line="259" w:lineRule="auto"/>
              <w:ind w:left="0" w:firstLine="0"/>
            </w:pPr>
          </w:p>
        </w:tc>
      </w:tr>
      <w:tr w:rsidR="008C7EDC" w14:paraId="7CE9BEAE" w14:textId="77777777" w:rsidTr="00E468C3">
        <w:trPr>
          <w:trHeight w:val="441"/>
        </w:trPr>
        <w:tc>
          <w:tcPr>
            <w:tcW w:w="9180" w:type="dxa"/>
            <w:shd w:val="clear" w:color="auto" w:fill="DEEAF6" w:themeFill="accent1" w:themeFillTint="33"/>
          </w:tcPr>
          <w:p w14:paraId="3EEBF383" w14:textId="77777777" w:rsidR="008C7EDC" w:rsidRDefault="008C7EDC" w:rsidP="0040558F">
            <w:pPr>
              <w:pStyle w:val="Heading2"/>
              <w:ind w:left="0" w:firstLine="0"/>
              <w:jc w:val="center"/>
            </w:pPr>
            <w:bookmarkStart w:id="2" w:name="_Toc184297253"/>
            <w:r>
              <w:t>BAY DU NORD</w:t>
            </w:r>
            <w:bookmarkEnd w:id="2"/>
          </w:p>
        </w:tc>
      </w:tr>
      <w:tr w:rsidR="008C7EDC" w14:paraId="2A664D9D" w14:textId="77777777" w:rsidTr="00E468C3">
        <w:trPr>
          <w:trHeight w:val="815"/>
        </w:trPr>
        <w:tc>
          <w:tcPr>
            <w:tcW w:w="9180" w:type="dxa"/>
          </w:tcPr>
          <w:p w14:paraId="2A3ABCB6" w14:textId="1E33A9DA" w:rsidR="008C7EDC" w:rsidRDefault="0076589D" w:rsidP="0076589D">
            <w:pPr>
              <w:spacing w:after="0" w:line="259" w:lineRule="auto"/>
              <w:ind w:left="0" w:firstLine="0"/>
            </w:pPr>
            <w:r>
              <w:t>La rivière du patrimoine canadien Bay du Nord demeure dans un état qui reflète les valeurs naturelles pour lesquelles elle a été désignée.</w:t>
            </w:r>
            <w:r>
              <w:br/>
            </w:r>
          </w:p>
        </w:tc>
      </w:tr>
      <w:tr w:rsidR="007E207B" w14:paraId="6D90358D" w14:textId="77777777" w:rsidTr="00E468C3">
        <w:trPr>
          <w:trHeight w:val="558"/>
        </w:trPr>
        <w:tc>
          <w:tcPr>
            <w:tcW w:w="9180" w:type="dxa"/>
            <w:shd w:val="clear" w:color="auto" w:fill="DEEAF6" w:themeFill="accent1" w:themeFillTint="33"/>
          </w:tcPr>
          <w:p w14:paraId="4212FD67" w14:textId="392FEB4D" w:rsidR="007E207B" w:rsidRDefault="007E207B" w:rsidP="007E207B">
            <w:pPr>
              <w:pStyle w:val="Heading2"/>
              <w:ind w:left="0" w:firstLine="0"/>
              <w:jc w:val="center"/>
            </w:pPr>
            <w:bookmarkStart w:id="3" w:name="_Toc184297254"/>
            <w:r>
              <w:t>ROUTE FRONTALIÈRE DES VOYAGEURS</w:t>
            </w:r>
            <w:bookmarkEnd w:id="3"/>
          </w:p>
        </w:tc>
      </w:tr>
      <w:tr w:rsidR="007E207B" w14:paraId="36CB4F8E" w14:textId="77777777" w:rsidTr="00E468C3">
        <w:trPr>
          <w:trHeight w:val="815"/>
        </w:trPr>
        <w:tc>
          <w:tcPr>
            <w:tcW w:w="9180" w:type="dxa"/>
          </w:tcPr>
          <w:p w14:paraId="22DD0E43" w14:textId="1A044BF8" w:rsidR="007E207B" w:rsidRDefault="007E207B" w:rsidP="0076589D">
            <w:pPr>
              <w:spacing w:after="0" w:line="259" w:lineRule="auto"/>
              <w:ind w:left="0" w:firstLine="0"/>
            </w:pPr>
            <w:r>
              <w:t xml:space="preserve">En 2022, cette chaîne de lacs et de chenaux fluviaux a causé d’importantes inondations au printemps et au début de l’été. La première moitié de l’année a également été marquée par la suspension du programme de passage à la frontière en région éloignée de l’Agence des services frontaliers du Canada, ce qui a empêché les canoteurs et les plaisanciers américains d’accéder à ces cours d’eau jusqu’à ce que le programme soit relancé dans la seconde moitié de l’été. En raison de ces deux facteurs, très peu de gens ont fait une utilisation récréative de la route frontalière des Voyageurs au sein des parcs provinciaux </w:t>
            </w:r>
            <w:proofErr w:type="spellStart"/>
            <w:r>
              <w:t>Quetico</w:t>
            </w:r>
            <w:proofErr w:type="spellEnd"/>
            <w:r>
              <w:t xml:space="preserve"> et La </w:t>
            </w:r>
            <w:proofErr w:type="spellStart"/>
            <w:r>
              <w:t>Verendrye</w:t>
            </w:r>
            <w:proofErr w:type="spellEnd"/>
            <w:r>
              <w:t xml:space="preserve"> en 2022. Les activités de recherche et de surveillance de Parcs Ontario se sont </w:t>
            </w:r>
            <w:proofErr w:type="gramStart"/>
            <w:r>
              <w:t>poursuivies</w:t>
            </w:r>
            <w:proofErr w:type="gramEnd"/>
            <w:r>
              <w:t xml:space="preserve"> normalement le long du tronçon de </w:t>
            </w:r>
            <w:proofErr w:type="spellStart"/>
            <w:r>
              <w:t>Quetico</w:t>
            </w:r>
            <w:proofErr w:type="spellEnd"/>
            <w:r>
              <w:t xml:space="preserve">, et une surveillance de la pollution lumineuse a eu lieu tout au long de la route frontalière pour appuyer la désignation de réserve de ciel étoilé des terres protégées qui bordent la voie navigable par l’International </w:t>
            </w:r>
            <w:proofErr w:type="spellStart"/>
            <w:r>
              <w:t>Dark</w:t>
            </w:r>
            <w:proofErr w:type="spellEnd"/>
            <w:r>
              <w:t>-Sky Association.</w:t>
            </w:r>
          </w:p>
          <w:p w14:paraId="0E7EF009" w14:textId="7BC6850D" w:rsidR="007E207B" w:rsidRDefault="007E207B" w:rsidP="0076589D">
            <w:pPr>
              <w:spacing w:after="0" w:line="259" w:lineRule="auto"/>
              <w:ind w:left="0" w:firstLine="0"/>
            </w:pPr>
          </w:p>
        </w:tc>
      </w:tr>
      <w:tr w:rsidR="007E207B" w14:paraId="600EF245" w14:textId="77777777" w:rsidTr="00E468C3">
        <w:trPr>
          <w:trHeight w:val="500"/>
        </w:trPr>
        <w:tc>
          <w:tcPr>
            <w:tcW w:w="9180" w:type="dxa"/>
            <w:shd w:val="clear" w:color="auto" w:fill="DEEAF6" w:themeFill="accent1" w:themeFillTint="33"/>
          </w:tcPr>
          <w:p w14:paraId="142EBCD5" w14:textId="4C568582" w:rsidR="007E207B" w:rsidRPr="0076589D" w:rsidRDefault="007E207B" w:rsidP="007E207B">
            <w:pPr>
              <w:pStyle w:val="Heading2"/>
              <w:ind w:left="0" w:firstLine="0"/>
              <w:jc w:val="center"/>
            </w:pPr>
            <w:bookmarkStart w:id="4" w:name="_Toc184297255"/>
            <w:r>
              <w:t>CLEARWATER (SASKATCHEWAN)</w:t>
            </w:r>
            <w:bookmarkEnd w:id="4"/>
          </w:p>
        </w:tc>
      </w:tr>
      <w:tr w:rsidR="007E207B" w14:paraId="5A63F5A3" w14:textId="77777777" w:rsidTr="00E468C3">
        <w:trPr>
          <w:trHeight w:val="815"/>
        </w:trPr>
        <w:tc>
          <w:tcPr>
            <w:tcW w:w="9180" w:type="dxa"/>
          </w:tcPr>
          <w:p w14:paraId="23D5C143" w14:textId="6EE3AE21" w:rsidR="00DA2D41" w:rsidRPr="0076589D" w:rsidRDefault="007E207B" w:rsidP="0076589D">
            <w:pPr>
              <w:spacing w:after="0" w:line="259" w:lineRule="auto"/>
              <w:ind w:left="0" w:firstLine="0"/>
            </w:pPr>
            <w:r>
              <w:t>Il n’y a ni activité, ni événement, ni mesure à signaler en raison d’une très faible activité, du manque de personnel et d’un budget limité.</w:t>
            </w:r>
          </w:p>
        </w:tc>
      </w:tr>
      <w:tr w:rsidR="00DA2D41" w14:paraId="6E805E23" w14:textId="77777777" w:rsidTr="00E468C3">
        <w:trPr>
          <w:trHeight w:val="476"/>
        </w:trPr>
        <w:tc>
          <w:tcPr>
            <w:tcW w:w="9180" w:type="dxa"/>
            <w:shd w:val="clear" w:color="auto" w:fill="DEEAF6" w:themeFill="accent1" w:themeFillTint="33"/>
          </w:tcPr>
          <w:p w14:paraId="37E1DA4C" w14:textId="02F4A93B" w:rsidR="00DA2D41" w:rsidRDefault="00DA2D41" w:rsidP="00DA2D41">
            <w:pPr>
              <w:pStyle w:val="Heading2"/>
              <w:ind w:left="0" w:firstLine="0"/>
              <w:jc w:val="center"/>
            </w:pPr>
            <w:bookmarkStart w:id="5" w:name="_Toc184297256"/>
            <w:r>
              <w:lastRenderedPageBreak/>
              <w:t>DES NEDHÈ | SEAL</w:t>
            </w:r>
            <w:bookmarkEnd w:id="5"/>
          </w:p>
        </w:tc>
      </w:tr>
      <w:tr w:rsidR="00DB1794" w14:paraId="05449E47" w14:textId="77777777" w:rsidTr="00E468C3">
        <w:trPr>
          <w:trHeight w:val="2610"/>
        </w:trPr>
        <w:tc>
          <w:tcPr>
            <w:tcW w:w="9180" w:type="dxa"/>
          </w:tcPr>
          <w:p w14:paraId="12A99C02" w14:textId="77777777" w:rsidR="00DB1794" w:rsidRDefault="00DA2D41" w:rsidP="00DB1794">
            <w:pPr>
              <w:ind w:left="0"/>
            </w:pPr>
            <w:r>
              <w:t>La rivière Seal n’a connu aucun changement important en 2022. Les gouvernements du Manitoba et du Canada, ainsi que d’autres organismes et chercheurs, ont mené diverses études et enquêtes sur les espèces sauvages dans le couloir fluvial et la région environnante. L’Alliance du bassin versant de la rivière Seal a reçu un financement fédéral pour l’aider à créer une aire protégée autochtone dans le bassin versant. De plus, le gouvernement fédéral, le gouvernement du Manitoba et l’Alliance ont annoncé qu’ils s’engageaient à collaborer à une évaluation de la faisabilité en vue de la création d’une aire protégée autochtone dans le bassin versant.</w:t>
            </w:r>
          </w:p>
          <w:p w14:paraId="7433E0D1" w14:textId="1AB86CCA" w:rsidR="00DA2D41" w:rsidRDefault="00DA2D41" w:rsidP="00DB1794">
            <w:pPr>
              <w:ind w:left="0"/>
            </w:pPr>
          </w:p>
        </w:tc>
      </w:tr>
      <w:tr w:rsidR="00DA2D41" w14:paraId="4F5C684A" w14:textId="77777777" w:rsidTr="00E468C3">
        <w:trPr>
          <w:trHeight w:val="476"/>
        </w:trPr>
        <w:tc>
          <w:tcPr>
            <w:tcW w:w="9180" w:type="dxa"/>
            <w:shd w:val="clear" w:color="auto" w:fill="DEEAF6" w:themeFill="accent1" w:themeFillTint="33"/>
          </w:tcPr>
          <w:p w14:paraId="0A17D53E" w14:textId="27B324C3" w:rsidR="00DA2D41" w:rsidRPr="00DA2D41" w:rsidRDefault="00DA2D41" w:rsidP="00DA2D41">
            <w:pPr>
              <w:pStyle w:val="Heading2"/>
              <w:ind w:left="0" w:firstLine="0"/>
              <w:jc w:val="center"/>
            </w:pPr>
            <w:bookmarkStart w:id="6" w:name="_Toc184297257"/>
            <w:r>
              <w:t>DÉTROIT</w:t>
            </w:r>
            <w:bookmarkEnd w:id="6"/>
          </w:p>
        </w:tc>
      </w:tr>
      <w:tr w:rsidR="00DA2D41" w14:paraId="52F03F30" w14:textId="77777777" w:rsidTr="00E468C3">
        <w:trPr>
          <w:trHeight w:val="2894"/>
        </w:trPr>
        <w:tc>
          <w:tcPr>
            <w:tcW w:w="9180" w:type="dxa"/>
          </w:tcPr>
          <w:p w14:paraId="6758C0FB" w14:textId="2411D3BB" w:rsidR="00DA2D41" w:rsidRDefault="005C071D" w:rsidP="00DB1794">
            <w:pPr>
              <w:ind w:left="0"/>
            </w:pPr>
            <w:r>
              <w:t>L’année 2022 a été une autre année marquée par les réussites sur les plans de la conservation, de l’interprétation, de l’amélioration et de l’appréciation des valeurs de la rivière Détroit en tant que rivière du patrimoine canadien. Un deuxième rapport de surveillance décennal a été rédigé; il confirme que la rivière mérite toujours amplement sa désignation comme rivière d’importance nationale au sein du Réseau des rivières du patrimoine canadien. Une importante zone humide a été cédée au public afin que sa protection à perpétuité soit assurée, et le plus grand projet de restauration de l’habitat sur la rive canadienne de la Détroit a été mené à bien à l’île Pêche. Des progrès de taille ont également été réalisés en vue de la création d’un parc urbain national à Windsor; celui-ci serait géré conjointement par les Premières Nations locales et d’autres partenaires.</w:t>
            </w:r>
          </w:p>
        </w:tc>
      </w:tr>
      <w:tr w:rsidR="00EF5EDC" w14:paraId="42810EE8" w14:textId="77777777" w:rsidTr="00E468C3">
        <w:trPr>
          <w:trHeight w:val="483"/>
        </w:trPr>
        <w:tc>
          <w:tcPr>
            <w:tcW w:w="9180" w:type="dxa"/>
            <w:shd w:val="clear" w:color="auto" w:fill="DEEAF6" w:themeFill="accent1" w:themeFillTint="33"/>
          </w:tcPr>
          <w:p w14:paraId="733139BD" w14:textId="0C738164" w:rsidR="00EF5EDC" w:rsidRDefault="00EF5EDC" w:rsidP="00EF5EDC">
            <w:pPr>
              <w:pStyle w:val="Heading2"/>
              <w:ind w:left="0" w:firstLine="0"/>
              <w:jc w:val="center"/>
            </w:pPr>
            <w:bookmarkStart w:id="7" w:name="_Toc184297258"/>
            <w:r>
              <w:lastRenderedPageBreak/>
              <w:t>FRASER</w:t>
            </w:r>
            <w:bookmarkEnd w:id="7"/>
          </w:p>
        </w:tc>
      </w:tr>
      <w:tr w:rsidR="00EF5EDC" w14:paraId="6C49E7DD" w14:textId="77777777" w:rsidTr="00E468C3">
        <w:trPr>
          <w:trHeight w:val="5452"/>
        </w:trPr>
        <w:tc>
          <w:tcPr>
            <w:tcW w:w="9180" w:type="dxa"/>
          </w:tcPr>
          <w:p w14:paraId="31D45EEE" w14:textId="77777777" w:rsidR="00EF5EDC" w:rsidRDefault="00EF5EDC" w:rsidP="00EF5EDC">
            <w:pPr>
              <w:spacing w:after="0"/>
              <w:ind w:left="0" w:firstLine="0"/>
            </w:pPr>
            <w:r>
              <w:t>Les communautés riveraines du fleuve Fraser continuent de se remettre de la sécheresse, de la chaleur et des pluies extrêmes de 2021, qui ont provoqué des feux de forêt, des inondations et des glissements de terrain dans de nombreux affluents et des frayères du fleuve, et y ont rehaussé la température de l’eau, dans l’intérieur de la Colombie-Britannique, dans le canyon du Fraser et dans la vallée du Fraser. Ces défis ont toutefois amené des groupes autochtones et non autochtones à collaborer pour protéger et préserver les valeurs écologiques, économiques et sociales du cours d’eau, en particulier les pêcheries de saumon. Les efforts déployés pour dégager et stabiliser le chenal du Fraser après le glissement de terrain de Big Bar, qui a pratiquement bloqué la migration des poissons vers les frayères situées plus en amont, en sont la preuve la plus flagrante. Les partenaires travaillent maintenant à l’élaboration d’un système prédictif qui facilitera la préparation à de futurs glissements de terrain touchant le Fraser. Certaines remontées de saumon, en particulier pour des stocks de saumon rouge, de saumon chinook et de saumon arc-en-ciel, continuent de décliner, tandis que d’autres restent nombreuses. La pêche commerciale et récréative a été fermée ou limitée en 2022, tout comme l’accès au saumon à des fins alimentaires, sociales et rituelles. Les gestionnaires des pêches et les groupes autochtones font toujours une gestion prudente des stocks sains. Bien que d’importantes aires de frai et de croissance du saumon et de l’esturgeon dans le tronçon graveleux du Fraser soient menacées par l’activité humaine, des mesures ont été prises pour protéger les secteurs critiques. Dans l’ensemble du bassin versant, les communautés et les dirigeants autochtones sont de plus en plus nombreux à participer à la gestion environnementale, économique et sociale des questions liées au fleuve.</w:t>
            </w:r>
          </w:p>
          <w:p w14:paraId="7CB2A3FC" w14:textId="65C163E7" w:rsidR="00E468C3" w:rsidRDefault="00E468C3" w:rsidP="00EF5EDC">
            <w:pPr>
              <w:spacing w:after="0"/>
              <w:ind w:left="0" w:firstLine="0"/>
            </w:pPr>
          </w:p>
        </w:tc>
      </w:tr>
      <w:tr w:rsidR="00CD69CA" w14:paraId="68CC985A" w14:textId="77777777" w:rsidTr="00E468C3">
        <w:trPr>
          <w:trHeight w:val="476"/>
        </w:trPr>
        <w:tc>
          <w:tcPr>
            <w:tcW w:w="9180" w:type="dxa"/>
            <w:shd w:val="clear" w:color="auto" w:fill="DEEAF6" w:themeFill="accent1" w:themeFillTint="33"/>
          </w:tcPr>
          <w:p w14:paraId="64DC0C31" w14:textId="43CF75B6" w:rsidR="00CD69CA" w:rsidRDefault="00CD69CA" w:rsidP="00CD69CA">
            <w:pPr>
              <w:pStyle w:val="Heading2"/>
              <w:ind w:left="0" w:firstLine="0"/>
              <w:jc w:val="center"/>
            </w:pPr>
            <w:bookmarkStart w:id="8" w:name="_Toc184297259"/>
            <w:r>
              <w:t>GRAND</w:t>
            </w:r>
            <w:bookmarkEnd w:id="8"/>
          </w:p>
        </w:tc>
      </w:tr>
      <w:tr w:rsidR="00CD69CA" w14:paraId="76A0ECCC" w14:textId="77777777" w:rsidTr="00E468C3">
        <w:trPr>
          <w:trHeight w:val="1193"/>
        </w:trPr>
        <w:tc>
          <w:tcPr>
            <w:tcW w:w="9180" w:type="dxa"/>
          </w:tcPr>
          <w:p w14:paraId="692A3FA5" w14:textId="77777777" w:rsidR="00CD69CA" w:rsidRDefault="00CD69CA" w:rsidP="00CD69CA">
            <w:pPr>
              <w:spacing w:after="0"/>
              <w:ind w:left="0" w:firstLine="0"/>
            </w:pPr>
            <w:r>
              <w:t>De nombreuses activités récréatives et culturelles ont repris dans le bassin versant de la rivière Grand en 2022, après deux années d’activité limitée causées par la pandémie de COVID-19.</w:t>
            </w:r>
          </w:p>
          <w:p w14:paraId="1DB2FD02" w14:textId="55883C88" w:rsidR="004058DD" w:rsidRDefault="004058DD" w:rsidP="00CD69CA">
            <w:pPr>
              <w:spacing w:after="0"/>
              <w:ind w:left="0" w:firstLine="0"/>
            </w:pPr>
          </w:p>
        </w:tc>
      </w:tr>
      <w:tr w:rsidR="00E21089" w14:paraId="1F490830" w14:textId="77777777" w:rsidTr="00E468C3">
        <w:trPr>
          <w:trHeight w:val="476"/>
        </w:trPr>
        <w:tc>
          <w:tcPr>
            <w:tcW w:w="9180" w:type="dxa"/>
            <w:shd w:val="clear" w:color="auto" w:fill="DEEAF6" w:themeFill="accent1" w:themeFillTint="33"/>
          </w:tcPr>
          <w:p w14:paraId="4A5E50A8" w14:textId="60D58DB2" w:rsidR="00E21089" w:rsidRPr="00AD4383" w:rsidRDefault="00E21089" w:rsidP="00E21089">
            <w:pPr>
              <w:pStyle w:val="Heading2"/>
              <w:ind w:left="0" w:firstLine="0"/>
              <w:jc w:val="center"/>
            </w:pPr>
            <w:bookmarkStart w:id="9" w:name="_Toc184297260"/>
            <w:r>
              <w:t xml:space="preserve">HARVAQTUUQ | </w:t>
            </w:r>
            <w:proofErr w:type="spellStart"/>
            <w:r>
              <w:rPr>
                <w:rFonts w:ascii="Gadugi" w:hAnsi="Gadugi"/>
              </w:rPr>
              <w:t>ᕼᐊᕐᕙᖅᑑᖅ</w:t>
            </w:r>
            <w:proofErr w:type="spellEnd"/>
            <w:r>
              <w:t xml:space="preserve"> | KAZAN</w:t>
            </w:r>
            <w:bookmarkEnd w:id="9"/>
          </w:p>
        </w:tc>
      </w:tr>
      <w:tr w:rsidR="00E21089" w14:paraId="59921264" w14:textId="77777777" w:rsidTr="00E468C3">
        <w:trPr>
          <w:trHeight w:val="1193"/>
        </w:trPr>
        <w:tc>
          <w:tcPr>
            <w:tcW w:w="9180" w:type="dxa"/>
          </w:tcPr>
          <w:p w14:paraId="53D87E36" w14:textId="3192943A" w:rsidR="00E21089" w:rsidRDefault="00E21089" w:rsidP="00E21089">
            <w:pPr>
              <w:spacing w:after="0"/>
              <w:ind w:left="0" w:right="-20" w:firstLine="0"/>
              <w:rPr>
                <w:rFonts w:eastAsia="Verdana" w:cs="Verdana"/>
              </w:rPr>
            </w:pPr>
            <w:r>
              <w:t>Les Inuit de Baker Lake ont poursuivi leur utilisation traditionnelle de la rivière et du secteur environnant en 2022 : les résidents de la communauté se déplacent et pratiquent leurs activités traditionnelles de récolte sur le cours inférieur de la rivière et dans les environs. Le secteur entourant le cours supérieur de la rivière est couramment utilisé pour les activités traditionnelles de récolte par les résidents d’</w:t>
            </w:r>
            <w:proofErr w:type="spellStart"/>
            <w:r>
              <w:t>Arviat</w:t>
            </w:r>
            <w:proofErr w:type="spellEnd"/>
            <w:r>
              <w:t xml:space="preserve"> et d’autres collectivités du secteur sud de la région du </w:t>
            </w:r>
            <w:proofErr w:type="spellStart"/>
            <w:r>
              <w:t>Kivalliq</w:t>
            </w:r>
            <w:proofErr w:type="spellEnd"/>
            <w:r>
              <w:t xml:space="preserve">, au Nunavut. La rivière </w:t>
            </w:r>
            <w:proofErr w:type="spellStart"/>
            <w:r>
              <w:t>Harvaqtuuq</w:t>
            </w:r>
            <w:proofErr w:type="spellEnd"/>
            <w:r>
              <w:t xml:space="preserve">/Kazan devait faire l’objet d’un rapport de surveillance décennal en 2010, conformément aux exigences de la Commission des rivières du patrimoine canadien, mais comme la négociation d’une entente sur les répercussions et les avantages pour </w:t>
            </w:r>
            <w:proofErr w:type="gramStart"/>
            <w:r>
              <w:t>les Inuit</w:t>
            </w:r>
            <w:proofErr w:type="gramEnd"/>
            <w:r>
              <w:t xml:space="preserve"> </w:t>
            </w:r>
            <w:r>
              <w:lastRenderedPageBreak/>
              <w:t xml:space="preserve">se poursuivait pour les rivières du patrimoine situées au Nunavut, on a décidé d’attendre la signature de l’Entente, en 2019, avant de produire ce rapport. L’Entente sur les répercussions et les avantages pour </w:t>
            </w:r>
            <w:proofErr w:type="gramStart"/>
            <w:r>
              <w:t>les Inuit</w:t>
            </w:r>
            <w:proofErr w:type="gramEnd"/>
            <w:r>
              <w:t xml:space="preserve"> a été négociée et signée par les organismes et gouvernements suivants : Nunavut </w:t>
            </w:r>
            <w:proofErr w:type="spellStart"/>
            <w:r>
              <w:t>Tunngavik</w:t>
            </w:r>
            <w:proofErr w:type="spellEnd"/>
            <w:r>
              <w:t xml:space="preserve"> </w:t>
            </w:r>
            <w:proofErr w:type="spellStart"/>
            <w:r>
              <w:t>Incorporated</w:t>
            </w:r>
            <w:proofErr w:type="spellEnd"/>
            <w:r>
              <w:t xml:space="preserve">, Association inuite du Kitikmeot, Association inuite du </w:t>
            </w:r>
            <w:proofErr w:type="spellStart"/>
            <w:r>
              <w:t>Kivalliq</w:t>
            </w:r>
            <w:proofErr w:type="spellEnd"/>
            <w:r>
              <w:t xml:space="preserve">, Association inuite de </w:t>
            </w:r>
            <w:proofErr w:type="spellStart"/>
            <w:r>
              <w:t>Qikiqtani</w:t>
            </w:r>
            <w:proofErr w:type="spellEnd"/>
            <w:r>
              <w:t xml:space="preserve">, gouvernement du Canada et gouvernement du Nunavut. La rédaction d’un rapport de surveillance sur 20 ans (2000-2020) de la rivière </w:t>
            </w:r>
            <w:proofErr w:type="spellStart"/>
            <w:r>
              <w:t>Harvaqtuuq</w:t>
            </w:r>
            <w:proofErr w:type="spellEnd"/>
            <w:r>
              <w:t xml:space="preserve">/Kazan a donc été entamée à la fin de 2021 et achevée à la mi-2022. Les rédacteurs ont examiné si la rivière possédait encore les valeurs patrimoniales et les valeurs d’intégrité pour lesquelles elle a été initialement désignée, et ils ont conclu que c’était le cas. Conformément à l’Entente sur les répercussions et les avantages pour les Inuit, l’Association inuite du </w:t>
            </w:r>
            <w:proofErr w:type="spellStart"/>
            <w:r>
              <w:t>Kivalliq</w:t>
            </w:r>
            <w:proofErr w:type="spellEnd"/>
            <w:r>
              <w:t xml:space="preserve"> a construit un abri d’urgence en 2022. Les travaux sont presque terminés (il ne reste plus que de petites touches de finition), et on s’affaire à déterminer où l’abri sera installé. La Commission d’aménagement du Nunavut, institution gouvernementale du Nunavut, a tenu une série d’audiences publiques dans tout le territoire, de même qu’une autre à Thompson au Manitoba, concernant la version provisoire du Plan d’aménagement des terres du Nunavut de 2021, qui inclura la partie du Nunavut où se trouve la rivière </w:t>
            </w:r>
            <w:proofErr w:type="spellStart"/>
            <w:r>
              <w:t>Harvaqtuuq</w:t>
            </w:r>
            <w:proofErr w:type="spellEnd"/>
            <w:r>
              <w:t xml:space="preserve">/Kazan. Une audience publique a eu lieu dans la région du </w:t>
            </w:r>
            <w:proofErr w:type="spellStart"/>
            <w:r>
              <w:t>Kivalliq</w:t>
            </w:r>
            <w:proofErr w:type="spellEnd"/>
            <w:r>
              <w:t xml:space="preserve">, à Rankin </w:t>
            </w:r>
            <w:proofErr w:type="spellStart"/>
            <w:r>
              <w:t>Inlet</w:t>
            </w:r>
            <w:proofErr w:type="spellEnd"/>
            <w:r>
              <w:t>, du 19 au 21 septembre 2023, et une autre à Thompson, au Manitoba, les 26 et 27 septembre 2022; des gouvernements, groupes, parties, signataires et particuliers qui s’intéressent à la gestion des terres dans la région et dans le territoire y ont fait part de leurs commentaires. De petites sociétés d’exploration tout comme de grandes sociétés minières ont poursuivi l’exploration minérale du bassin versant, la majorité d’entre elles étant à la recherche d’uranium, de nickel, de cobalt, de cuivre, de platine ou d’or.</w:t>
            </w:r>
          </w:p>
          <w:p w14:paraId="4FCBD408" w14:textId="77777777" w:rsidR="00E21089" w:rsidRPr="00AD4383" w:rsidRDefault="00E21089" w:rsidP="00CD69CA">
            <w:pPr>
              <w:spacing w:after="0"/>
              <w:ind w:left="0" w:firstLine="0"/>
            </w:pPr>
          </w:p>
        </w:tc>
      </w:tr>
      <w:tr w:rsidR="00C1355F" w14:paraId="791A344C" w14:textId="77777777" w:rsidTr="00E468C3">
        <w:trPr>
          <w:trHeight w:val="495"/>
        </w:trPr>
        <w:tc>
          <w:tcPr>
            <w:tcW w:w="9180" w:type="dxa"/>
            <w:shd w:val="clear" w:color="auto" w:fill="DEEAF6" w:themeFill="accent1" w:themeFillTint="33"/>
          </w:tcPr>
          <w:p w14:paraId="5D394508" w14:textId="786FB79C" w:rsidR="00C1355F" w:rsidRDefault="00C1355F" w:rsidP="00C1355F">
            <w:pPr>
              <w:pStyle w:val="Heading2"/>
              <w:ind w:left="0" w:firstLine="0"/>
              <w:jc w:val="center"/>
              <w:rPr>
                <w:rFonts w:eastAsia="Calibri"/>
              </w:rPr>
            </w:pPr>
            <w:bookmarkStart w:id="10" w:name="_Toc184297261"/>
            <w:r>
              <w:lastRenderedPageBreak/>
              <w:t>HILLSBOROUGH</w:t>
            </w:r>
            <w:bookmarkEnd w:id="10"/>
          </w:p>
        </w:tc>
      </w:tr>
      <w:tr w:rsidR="00C1355F" w14:paraId="48976C01" w14:textId="77777777" w:rsidTr="00E468C3">
        <w:trPr>
          <w:trHeight w:val="495"/>
        </w:trPr>
        <w:tc>
          <w:tcPr>
            <w:tcW w:w="9180" w:type="dxa"/>
            <w:shd w:val="clear" w:color="auto" w:fill="FFFFFF" w:themeFill="background1"/>
          </w:tcPr>
          <w:p w14:paraId="5F6D1ED5" w14:textId="77777777" w:rsidR="00C1355F" w:rsidRDefault="00C1355F" w:rsidP="00D21F1B">
            <w:pPr>
              <w:ind w:left="0"/>
            </w:pPr>
            <w:r>
              <w:t xml:space="preserve">L’Association de la rivière </w:t>
            </w:r>
            <w:proofErr w:type="spellStart"/>
            <w:r>
              <w:t>Hillsborough</w:t>
            </w:r>
            <w:proofErr w:type="spellEnd"/>
            <w:r>
              <w:t xml:space="preserve"> a mis à jour son protocole de travail sur le terrain en tenant compte de la COVID-19; elle s’est basée sur le protocole provincial pour les groupes de protection des bassins versants et de l’évolution de la situation en matière d’exposition au virus. Elle a également mis au point un protocole de nettoyage des véhicules et des chaussures pour répondre aux exigences de la province en matière de désinfection liées à la galle verruqueuse de la pomme de terre. En outre, huit étudiants et trois superviseurs ont bénéficié d’une formation en matière de sécurité et d’un mentorat relativement à la mise en œuvre d’initiatives d’amélioration des bassins versants.</w:t>
            </w:r>
          </w:p>
          <w:p w14:paraId="7D553321" w14:textId="70E3E2B1" w:rsidR="00C1355F" w:rsidRPr="00C1355F" w:rsidRDefault="00C1355F" w:rsidP="00D21F1B"/>
        </w:tc>
      </w:tr>
      <w:tr w:rsidR="00E21089" w14:paraId="7160E9A3" w14:textId="77777777" w:rsidTr="00E468C3">
        <w:trPr>
          <w:trHeight w:val="495"/>
        </w:trPr>
        <w:tc>
          <w:tcPr>
            <w:tcW w:w="9180" w:type="dxa"/>
            <w:shd w:val="clear" w:color="auto" w:fill="DEEAF6" w:themeFill="accent1" w:themeFillTint="33"/>
          </w:tcPr>
          <w:p w14:paraId="76D55669" w14:textId="55AB38A7" w:rsidR="00E21089" w:rsidRDefault="00E21089" w:rsidP="00E21089">
            <w:pPr>
              <w:pStyle w:val="Heading2"/>
              <w:ind w:left="0" w:firstLine="0"/>
              <w:jc w:val="center"/>
              <w:rPr>
                <w:rFonts w:eastAsia="Calibri"/>
              </w:rPr>
            </w:pPr>
            <w:r>
              <w:tab/>
            </w:r>
            <w:bookmarkStart w:id="11" w:name="_Toc184297262"/>
            <w:r>
              <w:t>HUMBER</w:t>
            </w:r>
            <w:bookmarkEnd w:id="11"/>
            <w:r>
              <w:tab/>
            </w:r>
          </w:p>
        </w:tc>
      </w:tr>
      <w:tr w:rsidR="00E21089" w14:paraId="69DD9435" w14:textId="77777777" w:rsidTr="00E468C3">
        <w:trPr>
          <w:trHeight w:val="495"/>
        </w:trPr>
        <w:tc>
          <w:tcPr>
            <w:tcW w:w="9180" w:type="dxa"/>
            <w:shd w:val="clear" w:color="auto" w:fill="FFFFFF" w:themeFill="background1"/>
          </w:tcPr>
          <w:p w14:paraId="24A931D7" w14:textId="3F1529E8" w:rsidR="00E21089" w:rsidRDefault="00E21089" w:rsidP="00E21089">
            <w:pPr>
              <w:ind w:left="0" w:firstLine="0"/>
            </w:pPr>
            <w:r>
              <w:t xml:space="preserve">En cette troisième année de la pandémie mondiale de COVID-19, la plupart de nos consultations auprès des communautés se sont déroulées en format hybride : en personne et dans un cadre virtuel. Cela dit, l’Office de protection de la nature de Toronto </w:t>
            </w:r>
            <w:r>
              <w:lastRenderedPageBreak/>
              <w:t>et de la région (TRCA), en collaboration avec des partenaires et des communautés du bassin versant, a continué de protéger, de restaurer et de célébrer la rivière Humber en tant que rivière du patrimoine canadien par des moyens nouveaux et originaux. Fait à noter en 2022, plus de 669</w:t>
            </w:r>
            <w:r w:rsidR="00E468C3">
              <w:t> </w:t>
            </w:r>
            <w:r>
              <w:t>300 visites ont été enregistrées dans les parcs et les terres protégées du TRCA. Celui-ci a également mobilisé des milliers de personnes par l’entremise de programmes et d’activités liés au patrimoine culturel. En outre, le TRCA s’affaire à mettre à jour le plan du bassin versant de la rivière Humber.</w:t>
            </w:r>
          </w:p>
          <w:p w14:paraId="2DEFF6D8" w14:textId="77777777" w:rsidR="00E21089" w:rsidRDefault="00E21089" w:rsidP="00E21089">
            <w:pPr>
              <w:pStyle w:val="Heading2"/>
              <w:ind w:left="0" w:firstLine="0"/>
              <w:jc w:val="center"/>
              <w:rPr>
                <w:rFonts w:eastAsia="Calibri"/>
              </w:rPr>
            </w:pPr>
          </w:p>
        </w:tc>
      </w:tr>
      <w:tr w:rsidR="00E21089" w14:paraId="5CCDE65A" w14:textId="77777777" w:rsidTr="00E468C3">
        <w:trPr>
          <w:trHeight w:val="495"/>
        </w:trPr>
        <w:tc>
          <w:tcPr>
            <w:tcW w:w="9180" w:type="dxa"/>
            <w:shd w:val="clear" w:color="auto" w:fill="DEEAF6" w:themeFill="accent1" w:themeFillTint="33"/>
          </w:tcPr>
          <w:p w14:paraId="38E5A3E9" w14:textId="722C9643" w:rsidR="00E21089" w:rsidRPr="00D37AC4" w:rsidRDefault="00E21089" w:rsidP="00E21089">
            <w:pPr>
              <w:pStyle w:val="Heading2"/>
              <w:ind w:left="0" w:firstLine="0"/>
              <w:jc w:val="center"/>
            </w:pPr>
            <w:bookmarkStart w:id="12" w:name="_Toc184297263"/>
            <w:r>
              <w:lastRenderedPageBreak/>
              <w:t xml:space="preserve">KANGIRJUAP | </w:t>
            </w:r>
            <w:proofErr w:type="spellStart"/>
            <w:r>
              <w:rPr>
                <w:rFonts w:ascii="Gadugi" w:hAnsi="Gadugi"/>
              </w:rPr>
              <w:t>ᑭᖏᕐᔪᐊᑉ</w:t>
            </w:r>
            <w:proofErr w:type="spellEnd"/>
            <w:r>
              <w:t xml:space="preserve"> | THELON</w:t>
            </w:r>
            <w:bookmarkEnd w:id="12"/>
          </w:p>
        </w:tc>
      </w:tr>
      <w:tr w:rsidR="00E21089" w14:paraId="5A2CE811" w14:textId="77777777" w:rsidTr="00E468C3">
        <w:trPr>
          <w:trHeight w:val="495"/>
        </w:trPr>
        <w:tc>
          <w:tcPr>
            <w:tcW w:w="9180" w:type="dxa"/>
            <w:shd w:val="clear" w:color="auto" w:fill="FFFFFF" w:themeFill="background1"/>
          </w:tcPr>
          <w:p w14:paraId="620AFA30" w14:textId="6503D1F1" w:rsidR="004058DD" w:rsidRPr="00D37AC4" w:rsidRDefault="00E21089" w:rsidP="00E21089">
            <w:pPr>
              <w:ind w:left="0" w:firstLine="0"/>
            </w:pPr>
            <w:r>
              <w:t xml:space="preserve">Les Inuit de Baker Lake (Nunavut) ont poursuivi leur utilisation traditionnelle de la rivière et du secteur environnant en 2022 : les résidents de la communauté se déplacent et pratiquent leurs activités traditionnelles de récolte sur le cours moyen et inférieur de la rivière, et dans les environs. Les habitants de </w:t>
            </w:r>
            <w:proofErr w:type="spellStart"/>
            <w:r>
              <w:t>Łutsel</w:t>
            </w:r>
            <w:proofErr w:type="spellEnd"/>
            <w:r>
              <w:t xml:space="preserve"> </w:t>
            </w:r>
            <w:proofErr w:type="spellStart"/>
            <w:r>
              <w:t>K'e</w:t>
            </w:r>
            <w:proofErr w:type="spellEnd"/>
            <w:r>
              <w:t xml:space="preserve"> (Nunavut) continuent de faire de même sur le cours supérieur et dans les eaux d’amont de la rivière. Celle-ci devait faire l’objet d’un rapport de surveillance décennal en 2010, conformément aux exigences de la Commission des rivières du patrimoine canadien, mais comme la négociation d’une entente sur les répercussions et les avantages pour </w:t>
            </w:r>
            <w:proofErr w:type="gramStart"/>
            <w:r>
              <w:t>les Inuit</w:t>
            </w:r>
            <w:proofErr w:type="gramEnd"/>
            <w:r>
              <w:t xml:space="preserve"> se poursuivait pour les rivières du patrimoine situées au Nunavut, on a décidé d’attendre la signature de l’Entente, en 2019, avant de produire ce rapport. L’Entente sur les répercussions et les avantages pour </w:t>
            </w:r>
            <w:proofErr w:type="gramStart"/>
            <w:r>
              <w:t>les Inuit</w:t>
            </w:r>
            <w:proofErr w:type="gramEnd"/>
            <w:r>
              <w:t xml:space="preserve"> a été négociée et signée par les organismes et gouvernements suivants : Nunavut </w:t>
            </w:r>
            <w:proofErr w:type="spellStart"/>
            <w:r>
              <w:t>Tunngavik</w:t>
            </w:r>
            <w:proofErr w:type="spellEnd"/>
            <w:r>
              <w:t xml:space="preserve"> </w:t>
            </w:r>
            <w:proofErr w:type="spellStart"/>
            <w:r>
              <w:t>Incorporated</w:t>
            </w:r>
            <w:proofErr w:type="spellEnd"/>
            <w:r>
              <w:t xml:space="preserve">, Association inuite du Kitikmeot, Association inuite du </w:t>
            </w:r>
            <w:proofErr w:type="spellStart"/>
            <w:r>
              <w:t>Kivalliq</w:t>
            </w:r>
            <w:proofErr w:type="spellEnd"/>
            <w:r>
              <w:t xml:space="preserve">, Association inuite de </w:t>
            </w:r>
            <w:proofErr w:type="spellStart"/>
            <w:r>
              <w:t>Qikiqtani</w:t>
            </w:r>
            <w:proofErr w:type="spellEnd"/>
            <w:r>
              <w:t xml:space="preserve">, gouvernement du Canada et gouvernement du Nunavut. La rédaction d’un rapport de surveillance sur 20 ans (2000-2020) de la rivière </w:t>
            </w:r>
            <w:proofErr w:type="spellStart"/>
            <w:r>
              <w:t>Kangirjuap</w:t>
            </w:r>
            <w:proofErr w:type="spellEnd"/>
            <w:r>
              <w:t>/</w:t>
            </w:r>
            <w:proofErr w:type="spellStart"/>
            <w:r>
              <w:t>Thelon</w:t>
            </w:r>
            <w:proofErr w:type="spellEnd"/>
            <w:r>
              <w:t xml:space="preserve"> a donc été entamée à la fin de 2021 et achevée à la mi-2022. Les rédacteurs ont examiné si la rivière possédait encore les valeurs patrimoniales et les valeurs d’intégrité pour lesquelles elle a été initialement désignée, et ils ont conclu que c’était le cas. Conformément à l’Entente sur les répercussions et les avantages pour les Inuit, l’Association inuite du </w:t>
            </w:r>
            <w:proofErr w:type="spellStart"/>
            <w:r>
              <w:t>Kivalliq</w:t>
            </w:r>
            <w:proofErr w:type="spellEnd"/>
            <w:r>
              <w:t xml:space="preserve"> a construit un abri d’urgence en 2022. Les travaux sont presque terminés (il ne reste plus que de petites touches de finition), et on s’affaire à déterminer où l’abri sera installé. La Commission d’aménagement du Nunavut, institution gouvernementale du Nunavut, a tenu une série d’audiences publiques dans tout le territoire, de même qu’une autre à Thompson au Manitoba, concernant la version provisoire du Plan d’aménagement des terres du Nunavut de 2021, qui inclura la partie du Nunavut où se trouve la rivière </w:t>
            </w:r>
            <w:proofErr w:type="spellStart"/>
            <w:r>
              <w:t>Kangirjuap</w:t>
            </w:r>
            <w:proofErr w:type="spellEnd"/>
            <w:r>
              <w:t>/</w:t>
            </w:r>
            <w:proofErr w:type="spellStart"/>
            <w:r>
              <w:t>Thelon</w:t>
            </w:r>
            <w:proofErr w:type="spellEnd"/>
            <w:r>
              <w:t xml:space="preserve">. Une audience publique a eu lieu dans la région du </w:t>
            </w:r>
            <w:proofErr w:type="spellStart"/>
            <w:r>
              <w:t>Kivalliq</w:t>
            </w:r>
            <w:proofErr w:type="spellEnd"/>
            <w:r>
              <w:t xml:space="preserve">, à Rankin </w:t>
            </w:r>
            <w:proofErr w:type="spellStart"/>
            <w:r>
              <w:t>Inlet</w:t>
            </w:r>
            <w:proofErr w:type="spellEnd"/>
            <w:r>
              <w:t>, du 19 au 21 septembre 2023, et une autre à Thompson, au Manitoba, les 26 et 27 septembre 2022; des gouvernements, groupes, parties, signataires et particuliers qui s’intéressent à la gestion des terres dans la région et dans le territoire y ont fait part de leurs commentaires. De petites sociétés d’exploration tout comme de grandes sociétés minières ont poursuivi l’exploration minérale le long de la rivière et dans le bassin versant, la majorité d’entre elles étant à la recherche d’uranium ou d’or.</w:t>
            </w:r>
          </w:p>
        </w:tc>
      </w:tr>
      <w:tr w:rsidR="00E21089" w14:paraId="30A82ABC" w14:textId="77777777" w:rsidTr="00E468C3">
        <w:trPr>
          <w:trHeight w:val="495"/>
        </w:trPr>
        <w:tc>
          <w:tcPr>
            <w:tcW w:w="9180" w:type="dxa"/>
            <w:shd w:val="clear" w:color="auto" w:fill="DEEAF6" w:themeFill="accent1" w:themeFillTint="33"/>
          </w:tcPr>
          <w:p w14:paraId="6F15C15E" w14:textId="5F87B7A7" w:rsidR="00E21089" w:rsidRDefault="00E21089" w:rsidP="00E21089">
            <w:pPr>
              <w:pStyle w:val="Heading2"/>
              <w:ind w:left="0" w:firstLine="0"/>
              <w:jc w:val="center"/>
            </w:pPr>
            <w:bookmarkStart w:id="13" w:name="_Toc184297264"/>
            <w:r>
              <w:lastRenderedPageBreak/>
              <w:t>KICKING HORSE</w:t>
            </w:r>
            <w:bookmarkEnd w:id="13"/>
            <w:r>
              <w:t xml:space="preserve"> </w:t>
            </w:r>
          </w:p>
        </w:tc>
      </w:tr>
      <w:tr w:rsidR="00E21089" w14:paraId="4052BF1D" w14:textId="77777777" w:rsidTr="00E468C3">
        <w:trPr>
          <w:trHeight w:val="495"/>
        </w:trPr>
        <w:tc>
          <w:tcPr>
            <w:tcW w:w="9180" w:type="dxa"/>
            <w:shd w:val="clear" w:color="auto" w:fill="FFFFFF" w:themeFill="background1"/>
          </w:tcPr>
          <w:p w14:paraId="4350B61E" w14:textId="77777777" w:rsidR="00E21089" w:rsidRDefault="00E21089" w:rsidP="00E21089">
            <w:pPr>
              <w:ind w:left="0" w:firstLine="0"/>
            </w:pPr>
            <w:r>
              <w:t xml:space="preserve">La levée des restrictions sur </w:t>
            </w:r>
            <w:proofErr w:type="gramStart"/>
            <w:r>
              <w:t>les déplacements imposées</w:t>
            </w:r>
            <w:proofErr w:type="gramEnd"/>
            <w:r>
              <w:t xml:space="preserve"> en raison de la Covid a entraîné une augmentation de la fréquentation du parc. On a constaté que les aires de stationnement réservées à la fréquentation diurne débordaient aux chutes </w:t>
            </w:r>
            <w:proofErr w:type="spellStart"/>
            <w:r>
              <w:t>Takakkaw</w:t>
            </w:r>
            <w:proofErr w:type="spellEnd"/>
            <w:r>
              <w:t xml:space="preserve"> et au lac Emerald.</w:t>
            </w:r>
          </w:p>
          <w:p w14:paraId="3E7C443D" w14:textId="749D6B77" w:rsidR="004058DD" w:rsidRDefault="004058DD" w:rsidP="00E21089">
            <w:pPr>
              <w:ind w:left="0" w:firstLine="0"/>
            </w:pPr>
          </w:p>
        </w:tc>
      </w:tr>
      <w:tr w:rsidR="008B6102" w14:paraId="4F509A33" w14:textId="77777777" w:rsidTr="00E468C3">
        <w:trPr>
          <w:trHeight w:val="495"/>
        </w:trPr>
        <w:tc>
          <w:tcPr>
            <w:tcW w:w="9180" w:type="dxa"/>
            <w:shd w:val="clear" w:color="auto" w:fill="DEEAF6" w:themeFill="accent1" w:themeFillTint="33"/>
          </w:tcPr>
          <w:p w14:paraId="51B2B182" w14:textId="03CFBFEA" w:rsidR="008B6102" w:rsidRPr="00D37AC4" w:rsidRDefault="008B6102" w:rsidP="008B6102">
            <w:pPr>
              <w:pStyle w:val="Heading2"/>
              <w:ind w:left="0" w:firstLine="0"/>
              <w:jc w:val="center"/>
            </w:pPr>
            <w:bookmarkStart w:id="14" w:name="_Toc184297265"/>
            <w:r>
              <w:t>HAYES | KISIPIKAMAWI SIPI | APIHT SIPI</w:t>
            </w:r>
            <w:bookmarkEnd w:id="14"/>
          </w:p>
        </w:tc>
      </w:tr>
      <w:tr w:rsidR="008B6102" w14:paraId="2C0A6300" w14:textId="77777777" w:rsidTr="00E468C3">
        <w:trPr>
          <w:trHeight w:val="495"/>
        </w:trPr>
        <w:tc>
          <w:tcPr>
            <w:tcW w:w="9180" w:type="dxa"/>
            <w:shd w:val="clear" w:color="auto" w:fill="FFFFFF" w:themeFill="background1"/>
          </w:tcPr>
          <w:p w14:paraId="3B7D0247" w14:textId="77777777" w:rsidR="008B6102" w:rsidRDefault="008B6102" w:rsidP="008B6102">
            <w:pPr>
              <w:ind w:left="0" w:firstLine="0"/>
              <w:rPr>
                <w:szCs w:val="24"/>
              </w:rPr>
            </w:pPr>
            <w:r>
              <w:t xml:space="preserve">Aucun changement important n’a été observé en 2022 dans le couloir de la rivière Hayes, mais des véligères (larves) de moules zébrées ont été détectées dans la rivière </w:t>
            </w:r>
            <w:proofErr w:type="spellStart"/>
            <w:r>
              <w:t>Echimamish</w:t>
            </w:r>
            <w:proofErr w:type="spellEnd"/>
            <w:r>
              <w:t xml:space="preserve">. Cette espèce envahissante pose donc un risque pour l’ensemble du couloir fluvial. La fréquentation du lieu historique national York </w:t>
            </w:r>
            <w:proofErr w:type="spellStart"/>
            <w:r>
              <w:t>Factory</w:t>
            </w:r>
            <w:proofErr w:type="spellEnd"/>
            <w:r>
              <w:t xml:space="preserve"> est revenue à son niveau d’avant la pandémie. Le gouvernement du Manitoba et d’autres partenaires ont mené diverses études et activités de surveillance des espèces sauvages dans le couloir fluvial et la région environnante.</w:t>
            </w:r>
          </w:p>
          <w:p w14:paraId="62387C6E" w14:textId="54023412" w:rsidR="004058DD" w:rsidRPr="00D37AC4" w:rsidRDefault="004058DD" w:rsidP="008B6102">
            <w:pPr>
              <w:ind w:left="0" w:firstLine="0"/>
            </w:pPr>
          </w:p>
        </w:tc>
      </w:tr>
      <w:tr w:rsidR="008B6102" w14:paraId="4B37012D" w14:textId="77777777" w:rsidTr="00E468C3">
        <w:trPr>
          <w:trHeight w:val="495"/>
        </w:trPr>
        <w:tc>
          <w:tcPr>
            <w:tcW w:w="9180" w:type="dxa"/>
            <w:shd w:val="clear" w:color="auto" w:fill="DEEAF6" w:themeFill="accent1" w:themeFillTint="33"/>
          </w:tcPr>
          <w:p w14:paraId="3C740D82" w14:textId="5F258989" w:rsidR="008B6102" w:rsidRPr="003A64AC" w:rsidRDefault="008B6102" w:rsidP="008B6102">
            <w:pPr>
              <w:pStyle w:val="Heading2"/>
              <w:ind w:left="0" w:firstLine="0"/>
              <w:jc w:val="center"/>
              <w:rPr>
                <w:szCs w:val="24"/>
              </w:rPr>
            </w:pPr>
            <w:bookmarkStart w:id="15" w:name="_Toc184297266"/>
            <w:r>
              <w:t xml:space="preserve">KUGLUKTUK | </w:t>
            </w:r>
            <w:proofErr w:type="spellStart"/>
            <w:r>
              <w:rPr>
                <w:rFonts w:ascii="Gadugi" w:hAnsi="Gadugi"/>
              </w:rPr>
              <w:t>ᑯᒡᓗᒃᑐᒃ</w:t>
            </w:r>
            <w:proofErr w:type="spellEnd"/>
            <w:r>
              <w:t xml:space="preserve"> | COPPERMINE (MISE EN CANDIDATURE)</w:t>
            </w:r>
            <w:bookmarkEnd w:id="15"/>
          </w:p>
        </w:tc>
      </w:tr>
      <w:tr w:rsidR="008B6102" w14:paraId="45D10007" w14:textId="77777777" w:rsidTr="00E468C3">
        <w:trPr>
          <w:trHeight w:val="495"/>
        </w:trPr>
        <w:tc>
          <w:tcPr>
            <w:tcW w:w="9180" w:type="dxa"/>
            <w:shd w:val="clear" w:color="auto" w:fill="FFFFFF" w:themeFill="background1"/>
          </w:tcPr>
          <w:p w14:paraId="6A1BD335" w14:textId="77777777" w:rsidR="008B6102" w:rsidRDefault="008B6102" w:rsidP="008B6102">
            <w:pPr>
              <w:ind w:left="0" w:firstLine="0"/>
            </w:pPr>
            <w:r>
              <w:t xml:space="preserve">L’utilisation traditionnelle de la rivière par les Inuit de </w:t>
            </w:r>
            <w:proofErr w:type="spellStart"/>
            <w:r>
              <w:t>Kugluktuk</w:t>
            </w:r>
            <w:proofErr w:type="spellEnd"/>
            <w:r>
              <w:t xml:space="preserve"> s’est poursuivie en 2022 : les résidents de la communauté se déplacent et pratiquent leurs activités traditionnelles de récolte sur le cours inférieur de la rivière. Environ 120 canoteurs ont descendu la rivière </w:t>
            </w:r>
            <w:proofErr w:type="spellStart"/>
            <w:r>
              <w:t>Kugluktuk-Coppermine</w:t>
            </w:r>
            <w:proofErr w:type="spellEnd"/>
            <w:r>
              <w:t xml:space="preserve"> après l’assouplissement des restrictions liées à la COVID-19. La Commission d’aménagement du Nunavut, institution gouvernementale du Nunavut, a tenu une série d’audiences publiques dans tout le territoire concernant la version provisoire du Plan d’aménagement des terres du Nunavut de 2021. Une audience publique a eu lieu dans la région de </w:t>
            </w:r>
            <w:proofErr w:type="spellStart"/>
            <w:r>
              <w:t>Kikitmeot</w:t>
            </w:r>
            <w:proofErr w:type="spellEnd"/>
            <w:r>
              <w:t>, à Cambridge Bay, du 12 au 15 septembre 2023; les gouvernements, groupes, parties, signataires et particuliers qui s’intéressent à la gestion des terres dans la région et dans le territoire y ont fait part de leurs commentaires.</w:t>
            </w:r>
          </w:p>
          <w:p w14:paraId="18350A18" w14:textId="3E1A3824" w:rsidR="004058DD" w:rsidRPr="003A64AC" w:rsidRDefault="004058DD" w:rsidP="008B6102">
            <w:pPr>
              <w:ind w:left="0" w:firstLine="0"/>
              <w:rPr>
                <w:szCs w:val="24"/>
              </w:rPr>
            </w:pPr>
          </w:p>
        </w:tc>
      </w:tr>
      <w:tr w:rsidR="008B6102" w14:paraId="6A538C35" w14:textId="77777777" w:rsidTr="00E468C3">
        <w:trPr>
          <w:trHeight w:val="495"/>
        </w:trPr>
        <w:tc>
          <w:tcPr>
            <w:tcW w:w="9180" w:type="dxa"/>
            <w:shd w:val="clear" w:color="auto" w:fill="DEEAF6" w:themeFill="accent1" w:themeFillTint="33"/>
          </w:tcPr>
          <w:p w14:paraId="5BC3319F" w14:textId="29F97D8E" w:rsidR="008B6102" w:rsidRDefault="008B6102" w:rsidP="008B6102">
            <w:pPr>
              <w:pStyle w:val="Heading2"/>
              <w:ind w:left="0" w:firstLine="0"/>
              <w:jc w:val="center"/>
            </w:pPr>
            <w:bookmarkStart w:id="16" w:name="_Toc184297267"/>
            <w:r>
              <w:t xml:space="preserve">KUUJJUAQ | </w:t>
            </w:r>
            <w:proofErr w:type="spellStart"/>
            <w:r>
              <w:rPr>
                <w:rFonts w:ascii="Gadugi" w:hAnsi="Gadugi"/>
              </w:rPr>
              <w:t>ᑳᔾᔪᐊᖅ</w:t>
            </w:r>
            <w:proofErr w:type="spellEnd"/>
            <w:r>
              <w:t xml:space="preserve"> | SOPER</w:t>
            </w:r>
            <w:bookmarkEnd w:id="16"/>
          </w:p>
        </w:tc>
      </w:tr>
      <w:tr w:rsidR="008B6102" w14:paraId="286CB618" w14:textId="77777777" w:rsidTr="00E468C3">
        <w:trPr>
          <w:trHeight w:val="495"/>
        </w:trPr>
        <w:tc>
          <w:tcPr>
            <w:tcW w:w="9180" w:type="dxa"/>
            <w:shd w:val="clear" w:color="auto" w:fill="FFFFFF" w:themeFill="background1"/>
          </w:tcPr>
          <w:p w14:paraId="635282EE" w14:textId="77777777" w:rsidR="008B6102" w:rsidRDefault="008B6102" w:rsidP="008B6102">
            <w:pPr>
              <w:ind w:left="0" w:firstLine="0"/>
            </w:pPr>
            <w:r>
              <w:t xml:space="preserve">L’utilisation traditionnelle de la rivière par les Inuit de </w:t>
            </w:r>
            <w:proofErr w:type="spellStart"/>
            <w:r>
              <w:t>Kimmirut</w:t>
            </w:r>
            <w:proofErr w:type="spellEnd"/>
            <w:r>
              <w:t xml:space="preserve"> s’est poursuivie en 2022 : les résidents de la communauté se déplacent et pratiquent leurs activités traditionnelles de récolte sur la rivière et dans la vallée environnante. En raison de la pandémie de COVID-19 et du lent retour des visiteurs provenant de l’extérieur du Nunavut, la fréquentation de la rivière et du parc territorial </w:t>
            </w:r>
            <w:proofErr w:type="spellStart"/>
            <w:r>
              <w:t>Katannilik</w:t>
            </w:r>
            <w:proofErr w:type="spellEnd"/>
            <w:r>
              <w:t xml:space="preserve"> demeure inférieure à la normale. Seuls neuf voyageurs inscrits sont passés par le parc, mais on sait que les visiteurs ne s’inscrivent pas tous.</w:t>
            </w:r>
          </w:p>
          <w:p w14:paraId="2236B93A" w14:textId="77777777" w:rsidR="008B6102" w:rsidRDefault="008B6102" w:rsidP="008B6102">
            <w:pPr>
              <w:ind w:left="0" w:firstLine="0"/>
            </w:pPr>
          </w:p>
        </w:tc>
      </w:tr>
      <w:tr w:rsidR="008B6102" w14:paraId="7B9D4C99" w14:textId="77777777" w:rsidTr="00E468C3">
        <w:trPr>
          <w:trHeight w:val="495"/>
        </w:trPr>
        <w:tc>
          <w:tcPr>
            <w:tcW w:w="9180" w:type="dxa"/>
            <w:shd w:val="clear" w:color="auto" w:fill="DEEAF6" w:themeFill="accent1" w:themeFillTint="33"/>
          </w:tcPr>
          <w:p w14:paraId="58381C2A" w14:textId="5FFC4A4E" w:rsidR="008B6102" w:rsidRPr="00B469EE" w:rsidRDefault="008B6102" w:rsidP="008B6102">
            <w:pPr>
              <w:pStyle w:val="Heading2"/>
              <w:ind w:left="0" w:firstLine="0"/>
              <w:jc w:val="center"/>
            </w:pPr>
            <w:bookmarkStart w:id="17" w:name="_Toc184297268"/>
            <w:r>
              <w:lastRenderedPageBreak/>
              <w:t>LISTUGUJ | HAUTE-RESTIGOUCHE</w:t>
            </w:r>
            <w:bookmarkEnd w:id="17"/>
          </w:p>
        </w:tc>
      </w:tr>
      <w:tr w:rsidR="008B6102" w14:paraId="2F5EDD37" w14:textId="77777777" w:rsidTr="00E468C3">
        <w:trPr>
          <w:trHeight w:val="495"/>
        </w:trPr>
        <w:tc>
          <w:tcPr>
            <w:tcW w:w="9180" w:type="dxa"/>
            <w:shd w:val="clear" w:color="auto" w:fill="FFFFFF" w:themeFill="background1"/>
          </w:tcPr>
          <w:p w14:paraId="289924CD" w14:textId="77777777" w:rsidR="008B6102" w:rsidRDefault="008B6102" w:rsidP="008B6102">
            <w:pPr>
              <w:ind w:left="0" w:firstLine="0"/>
            </w:pPr>
            <w:r>
              <w:t>Dans l’ensemble, la Restigouche a connu une bonne année sur le plan des activités récréatives. Les tendances observées ces derniers temps sur le plan des changements climatiques semblent avoir un impact sur la rivière, qui connaît un débit élevé au printemps et un débit extrêmement faible d’août à octobre, mais la situation a été différente cette année, la température de l’air ayant inférieure à la normale et les précipitations, supérieures à la moyenne, durant l’été. Cette situation a permis une circulation plus élevée que les années précédentes sur la rivière. La quantité de déchets à ramasser aux emplacements de camping a également diminué. Les activités de pêche ont repris normalement dans les campements après les fermetures liées à la pandémie.</w:t>
            </w:r>
          </w:p>
          <w:p w14:paraId="5C908583" w14:textId="7B9C9C6D" w:rsidR="00C1355F" w:rsidRPr="00B469EE" w:rsidRDefault="00C1355F" w:rsidP="008B6102">
            <w:pPr>
              <w:ind w:left="0" w:firstLine="0"/>
            </w:pPr>
          </w:p>
        </w:tc>
      </w:tr>
      <w:tr w:rsidR="00C1355F" w14:paraId="0BFD8FF3" w14:textId="77777777" w:rsidTr="00E468C3">
        <w:trPr>
          <w:trHeight w:val="495"/>
        </w:trPr>
        <w:tc>
          <w:tcPr>
            <w:tcW w:w="9180" w:type="dxa"/>
            <w:shd w:val="clear" w:color="auto" w:fill="DEEAF6" w:themeFill="accent1" w:themeFillTint="33"/>
          </w:tcPr>
          <w:p w14:paraId="1BE3C4B2" w14:textId="1CDFDD0C" w:rsidR="00C1355F" w:rsidRPr="00747D03" w:rsidRDefault="00C1355F" w:rsidP="00C1355F">
            <w:pPr>
              <w:pStyle w:val="Heading2"/>
              <w:ind w:left="0" w:firstLine="0"/>
              <w:jc w:val="center"/>
            </w:pPr>
            <w:bookmarkStart w:id="18" w:name="_Toc184297269"/>
            <w:r>
              <w:t>MATTAWA</w:t>
            </w:r>
            <w:bookmarkEnd w:id="18"/>
          </w:p>
        </w:tc>
      </w:tr>
      <w:tr w:rsidR="00C1355F" w14:paraId="11C14744" w14:textId="77777777" w:rsidTr="00E468C3">
        <w:trPr>
          <w:trHeight w:val="495"/>
        </w:trPr>
        <w:tc>
          <w:tcPr>
            <w:tcW w:w="9180" w:type="dxa"/>
            <w:shd w:val="clear" w:color="auto" w:fill="FFFFFF" w:themeFill="background1"/>
          </w:tcPr>
          <w:p w14:paraId="51232016" w14:textId="4A7A9085" w:rsidR="00C1355F" w:rsidRDefault="00C1355F" w:rsidP="00C1355F">
            <w:pPr>
              <w:ind w:left="0" w:firstLine="0"/>
            </w:pPr>
            <w:r>
              <w:t xml:space="preserve">La rivière </w:t>
            </w:r>
            <w:proofErr w:type="spellStart"/>
            <w:r>
              <w:t>Mattawa</w:t>
            </w:r>
            <w:proofErr w:type="spellEnd"/>
            <w:r>
              <w:t xml:space="preserve"> relie la rivière des Outaouais au lac Nipissing. Par le passé, elle a joué un rôle important comme lien vers l’Ouest dans le réseau commercial de la traite des fourrures et dans l’exploration du continent nord-américain. Le tronçon désigné de la rivière se trouve principalement à l’intérieur des limites des parcs provinciaux </w:t>
            </w:r>
            <w:proofErr w:type="spellStart"/>
            <w:r>
              <w:t>Mattawa</w:t>
            </w:r>
            <w:proofErr w:type="spellEnd"/>
            <w:r>
              <w:t> River et Samuel</w:t>
            </w:r>
            <w:r>
              <w:noBreakHyphen/>
              <w:t>de</w:t>
            </w:r>
            <w:r>
              <w:noBreakHyphen/>
              <w:t>Champlain, tous deux gérés par Parcs Ontario. En 2022, le personnel du programme Découverte du parc Samuel</w:t>
            </w:r>
            <w:r>
              <w:noBreakHyphen/>
              <w:t>de</w:t>
            </w:r>
            <w:r>
              <w:noBreakHyphen/>
              <w:t>Champlain a offert plus de 150 programmes scolaires virtuels à 2</w:t>
            </w:r>
            <w:r w:rsidR="00E468C3">
              <w:t> </w:t>
            </w:r>
            <w:r>
              <w:t xml:space="preserve">502 enfants de tout l’Ontario, y compris des programmes qui soutiennent les objectifs du Réseau des rivières du patrimoine canadien. La société Voyageur Adventure Tours a recommencé à offrir des activités sur la rivière en 2022. De plus, des visiteurs des quatre coins de la province et d’ailleurs ont participé à 21 programmes Découverte immersifs. La course de canots sur la rivière </w:t>
            </w:r>
            <w:proofErr w:type="spellStart"/>
            <w:r>
              <w:t>Mattawa</w:t>
            </w:r>
            <w:proofErr w:type="spellEnd"/>
            <w:r>
              <w:t xml:space="preserve"> était de retour en 2022, pour une 45</w:t>
            </w:r>
            <w:r>
              <w:rPr>
                <w:vertAlign w:val="superscript"/>
              </w:rPr>
              <w:t>e</w:t>
            </w:r>
            <w:r>
              <w:t> année.</w:t>
            </w:r>
          </w:p>
          <w:p w14:paraId="198801FF" w14:textId="532FE77B" w:rsidR="004058DD" w:rsidRPr="00747D03" w:rsidRDefault="004058DD" w:rsidP="00C1355F">
            <w:pPr>
              <w:ind w:left="0" w:firstLine="0"/>
            </w:pPr>
          </w:p>
        </w:tc>
      </w:tr>
      <w:tr w:rsidR="008C7EDC" w14:paraId="1D58AB85" w14:textId="77777777" w:rsidTr="00E468C3">
        <w:trPr>
          <w:trHeight w:val="495"/>
        </w:trPr>
        <w:tc>
          <w:tcPr>
            <w:tcW w:w="9180" w:type="dxa"/>
            <w:shd w:val="clear" w:color="auto" w:fill="DEEAF6" w:themeFill="accent1" w:themeFillTint="33"/>
          </w:tcPr>
          <w:p w14:paraId="31BC3C0E" w14:textId="62A6F054" w:rsidR="008C7EDC" w:rsidRDefault="008C7EDC" w:rsidP="006819E4">
            <w:pPr>
              <w:pStyle w:val="Heading2"/>
              <w:ind w:left="0" w:firstLine="0"/>
              <w:jc w:val="center"/>
            </w:pPr>
            <w:bookmarkStart w:id="19" w:name="_Toc184297270"/>
            <w:r>
              <w:t>MISKWEWESIBI | MISKWEYAABIZIIBEE | BLOODVEIN (MANITOBA)</w:t>
            </w:r>
            <w:bookmarkEnd w:id="19"/>
          </w:p>
        </w:tc>
      </w:tr>
      <w:tr w:rsidR="008C7EDC" w14:paraId="680D4C46" w14:textId="77777777" w:rsidTr="00E468C3">
        <w:tblPrEx>
          <w:tblCellMar>
            <w:top w:w="91" w:type="dxa"/>
          </w:tblCellMar>
        </w:tblPrEx>
        <w:trPr>
          <w:trHeight w:val="1471"/>
        </w:trPr>
        <w:tc>
          <w:tcPr>
            <w:tcW w:w="9180" w:type="dxa"/>
          </w:tcPr>
          <w:p w14:paraId="6E5F3139" w14:textId="77777777" w:rsidR="008C7EDC" w:rsidRDefault="0076589D" w:rsidP="0040558F">
            <w:pPr>
              <w:spacing w:after="0" w:line="259" w:lineRule="auto"/>
              <w:ind w:left="0" w:firstLine="0"/>
              <w:rPr>
                <w:rFonts w:asciiTheme="minorHAnsi" w:eastAsia="Verdana" w:hAnsiTheme="minorHAnsi" w:cs="Verdana"/>
              </w:rPr>
            </w:pPr>
            <w:r>
              <w:t xml:space="preserve">La rivière Bloodvein n’a connu aucun changement important en 2022. Elle demeure une destination prisée des amateurs de </w:t>
            </w:r>
            <w:proofErr w:type="spellStart"/>
            <w:r>
              <w:t>pagayage</w:t>
            </w:r>
            <w:proofErr w:type="spellEnd"/>
            <w:r>
              <w:t xml:space="preserve"> en eaux vives, et la société </w:t>
            </w:r>
            <w:proofErr w:type="spellStart"/>
            <w:r>
              <w:t>Pimachiowin</w:t>
            </w:r>
            <w:proofErr w:type="spellEnd"/>
            <w:r>
              <w:t xml:space="preserve"> Aki Corporation a poursuivi des projets et en a lancé de nouveaux relativement à la désignation de site du patrimoine mondial de l’UNESCO de la région.</w:t>
            </w:r>
          </w:p>
          <w:p w14:paraId="6DB8DD43" w14:textId="4B92CA8D" w:rsidR="004058DD" w:rsidRDefault="004058DD" w:rsidP="0040558F">
            <w:pPr>
              <w:spacing w:after="0" w:line="259" w:lineRule="auto"/>
              <w:ind w:left="0" w:firstLine="0"/>
            </w:pPr>
          </w:p>
        </w:tc>
      </w:tr>
      <w:tr w:rsidR="00C1355F" w14:paraId="544CA9E2" w14:textId="77777777" w:rsidTr="00E468C3">
        <w:tblPrEx>
          <w:tblCellMar>
            <w:top w:w="91" w:type="dxa"/>
          </w:tblCellMar>
        </w:tblPrEx>
        <w:trPr>
          <w:trHeight w:val="520"/>
        </w:trPr>
        <w:tc>
          <w:tcPr>
            <w:tcW w:w="9180" w:type="dxa"/>
            <w:shd w:val="clear" w:color="auto" w:fill="DEEAF6" w:themeFill="accent1" w:themeFillTint="33"/>
          </w:tcPr>
          <w:p w14:paraId="007CF196" w14:textId="7E70BD38" w:rsidR="00C1355F" w:rsidRPr="0076589D" w:rsidRDefault="00C1355F" w:rsidP="00C1355F">
            <w:pPr>
              <w:pStyle w:val="Heading2"/>
              <w:ind w:left="0" w:firstLine="0"/>
              <w:jc w:val="center"/>
            </w:pPr>
            <w:bookmarkStart w:id="20" w:name="_Toc184297271"/>
            <w:r>
              <w:t>MISSINAIBI</w:t>
            </w:r>
            <w:bookmarkEnd w:id="20"/>
          </w:p>
        </w:tc>
      </w:tr>
      <w:tr w:rsidR="00C1355F" w14:paraId="4C6E2DFC" w14:textId="77777777" w:rsidTr="00E468C3">
        <w:tblPrEx>
          <w:tblCellMar>
            <w:top w:w="91" w:type="dxa"/>
          </w:tblCellMar>
        </w:tblPrEx>
        <w:trPr>
          <w:trHeight w:val="1471"/>
        </w:trPr>
        <w:tc>
          <w:tcPr>
            <w:tcW w:w="9180" w:type="dxa"/>
          </w:tcPr>
          <w:p w14:paraId="1C1E2B41" w14:textId="600D8B2C" w:rsidR="004058DD" w:rsidRPr="0076589D" w:rsidRDefault="00C1355F" w:rsidP="00C1355F">
            <w:pPr>
              <w:spacing w:after="0" w:line="259" w:lineRule="auto"/>
              <w:ind w:left="0" w:firstLine="0"/>
            </w:pPr>
            <w:r>
              <w:t xml:space="preserve">On a continué de gérer la rivière </w:t>
            </w:r>
            <w:proofErr w:type="spellStart"/>
            <w:r>
              <w:t>Missinaibi</w:t>
            </w:r>
            <w:proofErr w:type="spellEnd"/>
            <w:r>
              <w:t xml:space="preserve"> en tant qu’important parcours de canotage en eaux vives retraçant les itinéraires traditionnels des Premières Nations et la route historique du commerce des fourrures par les Européens entre le lac Supérieur et la baie d’Hudson. Les activités régulières du parc se sont poursuivies au camping de la Baie-Barclay et dans tous les points d’accès à l’arrière-pays. </w:t>
            </w:r>
          </w:p>
        </w:tc>
      </w:tr>
      <w:tr w:rsidR="0089273B" w14:paraId="1688CB4A" w14:textId="77777777" w:rsidTr="00E468C3">
        <w:tblPrEx>
          <w:tblCellMar>
            <w:top w:w="91" w:type="dxa"/>
          </w:tblCellMar>
        </w:tblPrEx>
        <w:trPr>
          <w:trHeight w:val="466"/>
        </w:trPr>
        <w:tc>
          <w:tcPr>
            <w:tcW w:w="9180" w:type="dxa"/>
            <w:shd w:val="clear" w:color="auto" w:fill="DEEAF6" w:themeFill="accent1" w:themeFillTint="33"/>
          </w:tcPr>
          <w:p w14:paraId="1B7FF28D" w14:textId="3A425CE4" w:rsidR="0089273B" w:rsidRPr="00D37AC4" w:rsidRDefault="0089273B" w:rsidP="0089273B">
            <w:pPr>
              <w:pStyle w:val="Heading2"/>
              <w:ind w:left="0" w:firstLine="0"/>
              <w:jc w:val="center"/>
            </w:pPr>
            <w:bookmarkStart w:id="21" w:name="_Toc184297272"/>
            <w:proofErr w:type="spellStart"/>
            <w:r>
              <w:lastRenderedPageBreak/>
              <w:t>NAHʔĄ</w:t>
            </w:r>
            <w:proofErr w:type="spellEnd"/>
            <w:r>
              <w:t xml:space="preserve"> DEHÉ | NAHANNI SUD</w:t>
            </w:r>
            <w:bookmarkEnd w:id="21"/>
          </w:p>
        </w:tc>
      </w:tr>
      <w:tr w:rsidR="0089273B" w14:paraId="20BEEC0D" w14:textId="77777777" w:rsidTr="00E468C3">
        <w:tblPrEx>
          <w:tblCellMar>
            <w:top w:w="91" w:type="dxa"/>
          </w:tblCellMar>
        </w:tblPrEx>
        <w:trPr>
          <w:trHeight w:val="1471"/>
        </w:trPr>
        <w:tc>
          <w:tcPr>
            <w:tcW w:w="9180" w:type="dxa"/>
          </w:tcPr>
          <w:p w14:paraId="331EF544" w14:textId="3AFFBF27" w:rsidR="0089273B" w:rsidRDefault="0089273B" w:rsidP="0089273B">
            <w:pPr>
              <w:spacing w:after="0" w:line="259" w:lineRule="auto"/>
              <w:ind w:left="0" w:firstLine="0"/>
            </w:pPr>
            <w:r>
              <w:t xml:space="preserve">La rivière </w:t>
            </w:r>
            <w:proofErr w:type="spellStart"/>
            <w:r>
              <w:t>Nahanni</w:t>
            </w:r>
            <w:proofErr w:type="spellEnd"/>
            <w:r>
              <w:t xml:space="preserve"> Sud constitue l’épine dorsale des réserves de parc national </w:t>
            </w:r>
            <w:proofErr w:type="spellStart"/>
            <w:r>
              <w:t>Nahanni</w:t>
            </w:r>
            <w:proofErr w:type="spellEnd"/>
            <w:r>
              <w:t xml:space="preserve"> et </w:t>
            </w:r>
            <w:proofErr w:type="spellStart"/>
            <w:r>
              <w:t>Nááts'įhch'oh</w:t>
            </w:r>
            <w:proofErr w:type="spellEnd"/>
            <w:r>
              <w:t>. Dans l’ensemble, une vaste gamme d’activités réussies se sont déroulées dans ces parcs, le long du couloir fluvial, durant la saison opérationnelle 2022. Bien qu’il soit impossible d’y accéder en voiture, la région a accueilli 1</w:t>
            </w:r>
            <w:r w:rsidR="00E468C3">
              <w:t> </w:t>
            </w:r>
            <w:r>
              <w:t xml:space="preserve">165 visiteurs qui participaient à des excursions de canotage ou d’escalade, ou qui y étaient venus en avion pour la journée. Le personnel de Parcs Canada a fourni des services d’interprétation axés sur la culture dénée et l’histoire naturelle de la rivière à </w:t>
            </w:r>
            <w:proofErr w:type="spellStart"/>
            <w:r>
              <w:t>Gahnįhthah</w:t>
            </w:r>
            <w:proofErr w:type="spellEnd"/>
            <w:r>
              <w:t xml:space="preserve"> </w:t>
            </w:r>
            <w:proofErr w:type="spellStart"/>
            <w:r>
              <w:t>Mįe</w:t>
            </w:r>
            <w:proofErr w:type="spellEnd"/>
            <w:r>
              <w:t xml:space="preserve"> (lac </w:t>
            </w:r>
            <w:proofErr w:type="spellStart"/>
            <w:r>
              <w:t>Rabbitkettle</w:t>
            </w:r>
            <w:proofErr w:type="spellEnd"/>
            <w:r>
              <w:t xml:space="preserve">), aux </w:t>
            </w:r>
            <w:proofErr w:type="spellStart"/>
            <w:r>
              <w:t>Náįlįcho</w:t>
            </w:r>
            <w:proofErr w:type="spellEnd"/>
            <w:r>
              <w:t xml:space="preserve"> (chutes Virginia) et à </w:t>
            </w:r>
            <w:proofErr w:type="spellStart"/>
            <w:r>
              <w:t>Nahanni</w:t>
            </w:r>
            <w:proofErr w:type="spellEnd"/>
            <w:r>
              <w:t xml:space="preserve"> Butte. L’infrastructure du parc située le long de la rivière a fait l’objet d’une série d’activités d’entretien qui ont contribué à l’expérience du visiteur et à la conservation des ressources. Divers projets de recherche et de surveillance ont également été menés pour soutenir les objectifs liés au maintien de l’intégrité écologique de la réserve de parc.</w:t>
            </w:r>
          </w:p>
          <w:p w14:paraId="18EB94FA" w14:textId="1EF277B6" w:rsidR="0089273B" w:rsidRPr="00D37AC4" w:rsidRDefault="0089273B" w:rsidP="0089273B">
            <w:pPr>
              <w:spacing w:after="0" w:line="259" w:lineRule="auto"/>
              <w:ind w:left="0" w:firstLine="0"/>
            </w:pPr>
          </w:p>
        </w:tc>
      </w:tr>
      <w:tr w:rsidR="0089273B" w:rsidRPr="0089273B" w14:paraId="46E9C7B1" w14:textId="77777777" w:rsidTr="00E468C3">
        <w:tblPrEx>
          <w:tblCellMar>
            <w:top w:w="91" w:type="dxa"/>
          </w:tblCellMar>
        </w:tblPrEx>
        <w:trPr>
          <w:trHeight w:val="464"/>
        </w:trPr>
        <w:tc>
          <w:tcPr>
            <w:tcW w:w="9180" w:type="dxa"/>
            <w:shd w:val="clear" w:color="auto" w:fill="DEEAF6" w:themeFill="accent1" w:themeFillTint="33"/>
          </w:tcPr>
          <w:p w14:paraId="25263C73" w14:textId="2D3253B3" w:rsidR="0089273B" w:rsidRPr="0089273B" w:rsidRDefault="0089273B" w:rsidP="0089273B">
            <w:pPr>
              <w:pStyle w:val="Heading2"/>
              <w:ind w:left="0" w:firstLine="0"/>
              <w:jc w:val="center"/>
              <w:rPr>
                <w:rFonts w:eastAsia="Calibri"/>
              </w:rPr>
            </w:pPr>
            <w:bookmarkStart w:id="22" w:name="_Toc184297273"/>
            <w:r>
              <w:t>SASKATCHEWAN NORD (PARC NATIONAL BANFF)</w:t>
            </w:r>
            <w:bookmarkEnd w:id="22"/>
          </w:p>
        </w:tc>
      </w:tr>
      <w:tr w:rsidR="0089273B" w:rsidRPr="00EF5EDC" w14:paraId="0EBF39C3" w14:textId="77777777" w:rsidTr="00E468C3">
        <w:tblPrEx>
          <w:tblCellMar>
            <w:top w:w="91" w:type="dxa"/>
          </w:tblCellMar>
        </w:tblPrEx>
        <w:trPr>
          <w:trHeight w:val="464"/>
        </w:trPr>
        <w:tc>
          <w:tcPr>
            <w:tcW w:w="9180" w:type="dxa"/>
            <w:shd w:val="clear" w:color="auto" w:fill="FFFFFF" w:themeFill="background1"/>
          </w:tcPr>
          <w:p w14:paraId="6641F51F" w14:textId="77777777" w:rsidR="0089273B" w:rsidRDefault="0089273B" w:rsidP="00F32E6D">
            <w:pPr>
              <w:ind w:left="0"/>
            </w:pPr>
            <w:r>
              <w:t>La fréquentation diurne le long de la route 93 Nord continue d’augmenter. Un court tronçon de la rivière Saskatchewan Nord a sapé cette route et a dû être stabilisé. La surveillance des espèces en péril se poursuit : carcajou, chauve-souris et pin à écorce blanche. Des brûlages dirigés ont été menés dans le bassin versant de la rivière Alexandra, un affluent de la Saskatchewan Nord. L’infrastructure a fait l’objet de rénovations le long de la route David Thompson; on a notamment aménagé un nouveau kiosque d’entrée. Des activités de surveillance de l’état des ressources culturelles ont été menées au chalet de patrouille du ruisseau Owen.</w:t>
            </w:r>
          </w:p>
          <w:p w14:paraId="119EA8D2" w14:textId="6C0AB2DF" w:rsidR="0089273B" w:rsidRPr="0089273B" w:rsidRDefault="0089273B" w:rsidP="0089273B"/>
        </w:tc>
      </w:tr>
      <w:tr w:rsidR="0089273B" w:rsidRPr="00EF5EDC" w14:paraId="1591E127" w14:textId="77777777" w:rsidTr="00E468C3">
        <w:tblPrEx>
          <w:tblCellMar>
            <w:top w:w="91" w:type="dxa"/>
          </w:tblCellMar>
        </w:tblPrEx>
        <w:trPr>
          <w:trHeight w:val="464"/>
        </w:trPr>
        <w:tc>
          <w:tcPr>
            <w:tcW w:w="9180" w:type="dxa"/>
            <w:shd w:val="clear" w:color="auto" w:fill="DEEAF6" w:themeFill="accent1" w:themeFillTint="33"/>
          </w:tcPr>
          <w:p w14:paraId="54AD408A" w14:textId="5DF124E4" w:rsidR="0089273B" w:rsidRPr="0089273B" w:rsidRDefault="0089273B" w:rsidP="0089273B">
            <w:pPr>
              <w:pStyle w:val="Heading2"/>
              <w:ind w:left="0" w:firstLine="0"/>
              <w:jc w:val="center"/>
              <w:rPr>
                <w:rFonts w:ascii="Calibri" w:eastAsia="Calibri" w:hAnsi="Calibri" w:cs="Calibri"/>
                <w:color w:val="000000"/>
                <w:sz w:val="24"/>
                <w:szCs w:val="22"/>
              </w:rPr>
            </w:pPr>
            <w:bookmarkStart w:id="23" w:name="_Toc184297274"/>
            <w:r>
              <w:t>QUW’UTSUN | COWICHAN</w:t>
            </w:r>
            <w:bookmarkEnd w:id="23"/>
          </w:p>
        </w:tc>
      </w:tr>
      <w:tr w:rsidR="0089273B" w:rsidRPr="0089273B" w14:paraId="321F5FA4" w14:textId="77777777" w:rsidTr="00E468C3">
        <w:tblPrEx>
          <w:tblCellMar>
            <w:top w:w="91" w:type="dxa"/>
          </w:tblCellMar>
        </w:tblPrEx>
        <w:trPr>
          <w:trHeight w:val="464"/>
        </w:trPr>
        <w:tc>
          <w:tcPr>
            <w:tcW w:w="9180" w:type="dxa"/>
            <w:shd w:val="clear" w:color="auto" w:fill="FFFFFF" w:themeFill="background1"/>
          </w:tcPr>
          <w:p w14:paraId="033ADA07" w14:textId="26D61736" w:rsidR="0089273B" w:rsidRDefault="0089273B" w:rsidP="00F32E6D">
            <w:pPr>
              <w:ind w:left="0"/>
            </w:pPr>
            <w:r>
              <w:t xml:space="preserve">La rivière </w:t>
            </w:r>
            <w:proofErr w:type="spellStart"/>
            <w:r>
              <w:t>Quw’utsun</w:t>
            </w:r>
            <w:proofErr w:type="spellEnd"/>
            <w:r>
              <w:t>/</w:t>
            </w:r>
            <w:proofErr w:type="spellStart"/>
            <w:r>
              <w:t>Cowichan</w:t>
            </w:r>
            <w:proofErr w:type="spellEnd"/>
            <w:r>
              <w:t xml:space="preserve"> est au cœur de la vie traditionnelle et contemporaine des tribus des </w:t>
            </w:r>
            <w:proofErr w:type="spellStart"/>
            <w:r>
              <w:t>Cowichan</w:t>
            </w:r>
            <w:proofErr w:type="spellEnd"/>
            <w:r>
              <w:t xml:space="preserve"> et des autres personnes qui vivent, travaillent et pratiquent des loisirs le long de son cours de 47 km. Cette importance se reflète dans les nombreux groupes et particuliers qui travaillent à la préservation et à l’intendance de cette ressource vitale.</w:t>
            </w:r>
          </w:p>
          <w:p w14:paraId="187741AE" w14:textId="768FC540" w:rsidR="0089273B" w:rsidRPr="0089273B" w:rsidRDefault="0089273B" w:rsidP="0089273B"/>
        </w:tc>
      </w:tr>
      <w:tr w:rsidR="0089273B" w:rsidRPr="00EF5EDC" w14:paraId="0CE2BFF0" w14:textId="77777777" w:rsidTr="00E468C3">
        <w:tblPrEx>
          <w:tblCellMar>
            <w:top w:w="91" w:type="dxa"/>
          </w:tblCellMar>
        </w:tblPrEx>
        <w:trPr>
          <w:trHeight w:val="464"/>
        </w:trPr>
        <w:tc>
          <w:tcPr>
            <w:tcW w:w="9180" w:type="dxa"/>
            <w:shd w:val="clear" w:color="auto" w:fill="DEEAF6" w:themeFill="accent1" w:themeFillTint="33"/>
          </w:tcPr>
          <w:p w14:paraId="5F99085D" w14:textId="1D5CF70B" w:rsidR="0089273B" w:rsidRPr="0089273B" w:rsidRDefault="0089273B" w:rsidP="0089273B">
            <w:pPr>
              <w:pStyle w:val="Heading2"/>
              <w:ind w:left="0" w:firstLine="0"/>
              <w:jc w:val="center"/>
              <w:rPr>
                <w:rFonts w:ascii="Calibri" w:eastAsia="Calibri" w:hAnsi="Calibri" w:cs="Calibri"/>
                <w:color w:val="000000"/>
                <w:sz w:val="24"/>
                <w:szCs w:val="22"/>
              </w:rPr>
            </w:pPr>
            <w:bookmarkStart w:id="24" w:name="_Toc184297275"/>
            <w:r>
              <w:t>ROUGE</w:t>
            </w:r>
            <w:bookmarkEnd w:id="24"/>
          </w:p>
        </w:tc>
      </w:tr>
      <w:tr w:rsidR="0089273B" w:rsidRPr="0089273B" w14:paraId="3DDE249E" w14:textId="77777777" w:rsidTr="00E468C3">
        <w:tblPrEx>
          <w:tblCellMar>
            <w:top w:w="91" w:type="dxa"/>
          </w:tblCellMar>
        </w:tblPrEx>
        <w:trPr>
          <w:trHeight w:val="464"/>
        </w:trPr>
        <w:tc>
          <w:tcPr>
            <w:tcW w:w="9180" w:type="dxa"/>
            <w:shd w:val="clear" w:color="auto" w:fill="FFFFFF" w:themeFill="background1"/>
          </w:tcPr>
          <w:p w14:paraId="05005757" w14:textId="77777777" w:rsidR="0089273B" w:rsidRDefault="0089273B" w:rsidP="0089273B">
            <w:pPr>
              <w:ind w:left="0" w:firstLine="0"/>
            </w:pPr>
            <w:r>
              <w:t xml:space="preserve">Le couloir de la rivière Rouge n’a connu aucun changement important en 2022. Cependant, la vallée de la rivière Rouge a subi d’importantes inondations en raison du niveau élevé de l’eau des rivières au printemps, combiné à un volume inhabituellement élevé de précipitations printanières. De nombreuses activités et manifestations annuelles organisées sur ou près de la rivière ont repris après une interruption due à la pandémie </w:t>
            </w:r>
            <w:r>
              <w:lastRenderedPageBreak/>
              <w:t>de COVID-19, et divers travaux d’étude des poissons, de surveillance des espèces sauvages et de contrôle de la qualité de l’eau se sont poursuivis. Des travaux importants ont été faits dans les municipalités et les parcs provinciaux, le long du couloir fluvial, afin d’améliorer l’accès à l’eau et les installations de loisirs pour les résidents du Manitoba et les visiteurs.</w:t>
            </w:r>
          </w:p>
          <w:p w14:paraId="71EA2018" w14:textId="03CAE80F" w:rsidR="0089273B" w:rsidRPr="0089273B" w:rsidRDefault="0089273B" w:rsidP="0089273B">
            <w:pPr>
              <w:ind w:left="0" w:firstLine="0"/>
            </w:pPr>
          </w:p>
        </w:tc>
      </w:tr>
      <w:tr w:rsidR="0089273B" w:rsidRPr="0089273B" w14:paraId="5D42CC46" w14:textId="77777777" w:rsidTr="00E468C3">
        <w:tblPrEx>
          <w:tblCellMar>
            <w:top w:w="91" w:type="dxa"/>
          </w:tblCellMar>
        </w:tblPrEx>
        <w:trPr>
          <w:trHeight w:val="464"/>
        </w:trPr>
        <w:tc>
          <w:tcPr>
            <w:tcW w:w="9180" w:type="dxa"/>
            <w:shd w:val="clear" w:color="auto" w:fill="DEEAF6" w:themeFill="accent1" w:themeFillTint="33"/>
          </w:tcPr>
          <w:p w14:paraId="3999D30F" w14:textId="262F1967" w:rsidR="0089273B" w:rsidRPr="00312E54" w:rsidRDefault="0089273B" w:rsidP="0089273B">
            <w:pPr>
              <w:pStyle w:val="Heading2"/>
              <w:ind w:left="0" w:firstLine="0"/>
              <w:jc w:val="center"/>
            </w:pPr>
            <w:bookmarkStart w:id="25" w:name="_Toc184297276"/>
            <w:r>
              <w:lastRenderedPageBreak/>
              <w:t>RIDEAU</w:t>
            </w:r>
            <w:bookmarkEnd w:id="25"/>
          </w:p>
        </w:tc>
      </w:tr>
      <w:tr w:rsidR="0089273B" w:rsidRPr="0089273B" w14:paraId="2C6C577C" w14:textId="77777777" w:rsidTr="00E468C3">
        <w:tblPrEx>
          <w:tblCellMar>
            <w:top w:w="91" w:type="dxa"/>
          </w:tblCellMar>
        </w:tblPrEx>
        <w:trPr>
          <w:trHeight w:val="464"/>
        </w:trPr>
        <w:tc>
          <w:tcPr>
            <w:tcW w:w="9180" w:type="dxa"/>
            <w:shd w:val="clear" w:color="auto" w:fill="FFFFFF" w:themeFill="background1"/>
          </w:tcPr>
          <w:p w14:paraId="5A9C8EE2" w14:textId="77777777" w:rsidR="0089273B" w:rsidRDefault="0089273B" w:rsidP="0089273B">
            <w:pPr>
              <w:ind w:left="0" w:firstLine="0"/>
            </w:pPr>
            <w:r>
              <w:t>En décembre 2022, le Plan directeur des lieux historiques nationaux du Canal-Rideau et du Blockhaus-de</w:t>
            </w:r>
            <w:r>
              <w:noBreakHyphen/>
            </w:r>
            <w:proofErr w:type="spellStart"/>
            <w:r>
              <w:t>Merrickville</w:t>
            </w:r>
            <w:proofErr w:type="spellEnd"/>
            <w:r>
              <w:t xml:space="preserve"> a été déposé au Parlement par le ministre de l’Environnement et du Changement climatique. Il servira de document d’orientation stratégique pour la voie navigable au cours des dix prochaines années. En 2022-2023, des travaux de conservation des ressources culturelles se sont poursuivis, notamment sur la maçonnerie des écluses et un pont tournant en bois, et des études sur le paysage culturel ont été entreprises. La protection de l’écosystème d’eau douce s’est poursuivie grâce aux recherches financées par le Conseil de recherches en sciences naturelles et en génie du Canada, à un plan d’action pour des espèces multiples et à des évaluations du littoral. Enfin, des visiteurs ont été accueillis au lieu historique, où on leur a proposé de passer la nuit dans des hébergements historiques ou des tentes </w:t>
            </w:r>
            <w:proofErr w:type="spellStart"/>
            <w:r>
              <w:t>Otentik</w:t>
            </w:r>
            <w:proofErr w:type="spellEnd"/>
            <w:r>
              <w:t>, et d’apprendre à pagayer.</w:t>
            </w:r>
          </w:p>
          <w:p w14:paraId="66A393DC" w14:textId="77EE57A9" w:rsidR="0089273B" w:rsidRPr="00312E54" w:rsidRDefault="0089273B" w:rsidP="0089273B">
            <w:pPr>
              <w:ind w:left="0" w:firstLine="0"/>
            </w:pPr>
          </w:p>
        </w:tc>
      </w:tr>
      <w:tr w:rsidR="0089273B" w:rsidRPr="0089273B" w14:paraId="53A83E08" w14:textId="77777777" w:rsidTr="00E468C3">
        <w:tblPrEx>
          <w:tblCellMar>
            <w:top w:w="91" w:type="dxa"/>
          </w:tblCellMar>
        </w:tblPrEx>
        <w:trPr>
          <w:trHeight w:val="464"/>
        </w:trPr>
        <w:tc>
          <w:tcPr>
            <w:tcW w:w="9180" w:type="dxa"/>
            <w:shd w:val="clear" w:color="auto" w:fill="DEEAF6" w:themeFill="accent1" w:themeFillTint="33"/>
          </w:tcPr>
          <w:p w14:paraId="35FD5B67" w14:textId="1359EAA6" w:rsidR="0089273B" w:rsidRPr="00450191" w:rsidRDefault="0089273B" w:rsidP="0089273B">
            <w:pPr>
              <w:pStyle w:val="Heading2"/>
              <w:ind w:left="0" w:firstLine="0"/>
              <w:jc w:val="center"/>
            </w:pPr>
            <w:bookmarkStart w:id="26" w:name="_Toc184297277"/>
            <w:r>
              <w:t>STE-MARIE</w:t>
            </w:r>
            <w:bookmarkEnd w:id="26"/>
          </w:p>
        </w:tc>
      </w:tr>
      <w:tr w:rsidR="0089273B" w:rsidRPr="0089273B" w14:paraId="2D23CCF7" w14:textId="77777777" w:rsidTr="00E468C3">
        <w:tblPrEx>
          <w:tblCellMar>
            <w:top w:w="91" w:type="dxa"/>
          </w:tblCellMar>
        </w:tblPrEx>
        <w:trPr>
          <w:trHeight w:val="464"/>
        </w:trPr>
        <w:tc>
          <w:tcPr>
            <w:tcW w:w="9180" w:type="dxa"/>
            <w:shd w:val="clear" w:color="auto" w:fill="FFFFFF" w:themeFill="background1"/>
          </w:tcPr>
          <w:p w14:paraId="6B0A1E47" w14:textId="77777777" w:rsidR="0089273B" w:rsidRDefault="0089273B" w:rsidP="0089273B">
            <w:pPr>
              <w:ind w:left="0" w:firstLine="0"/>
            </w:pPr>
            <w:r>
              <w:t>La rivière Ste-Marie est une voie navigable binationale de 112 km qui relie le lac Supérieur au chenal nord du lac Huron. La rivière est l’un des 43 secteurs préoccupants des Grands Lacs désignés dans l’Accord relatif à la qualité de l’eau dans les Grands Lacs, conclu par le Canada et les États-Unis. L’année 2022 a été marquée par de grands progrès dans la compréhension de la contamination des sédiments, des contaminants et des tumeurs du poisson, et dans la prise de mesures pour remédier à ces problèmes au profit des poissons et des autres espèces sauvages.</w:t>
            </w:r>
          </w:p>
          <w:p w14:paraId="78609AE9" w14:textId="7B8BAD88" w:rsidR="0089273B" w:rsidRPr="00450191" w:rsidRDefault="0089273B" w:rsidP="0089273B">
            <w:pPr>
              <w:ind w:left="0" w:firstLine="0"/>
            </w:pPr>
          </w:p>
        </w:tc>
      </w:tr>
      <w:tr w:rsidR="0089273B" w:rsidRPr="0089273B" w14:paraId="5FEA2CBA" w14:textId="77777777" w:rsidTr="00E468C3">
        <w:tblPrEx>
          <w:tblCellMar>
            <w:top w:w="91" w:type="dxa"/>
          </w:tblCellMar>
        </w:tblPrEx>
        <w:trPr>
          <w:trHeight w:val="464"/>
        </w:trPr>
        <w:tc>
          <w:tcPr>
            <w:tcW w:w="9180" w:type="dxa"/>
            <w:shd w:val="clear" w:color="auto" w:fill="DEEAF6" w:themeFill="accent1" w:themeFillTint="33"/>
          </w:tcPr>
          <w:p w14:paraId="56A05503" w14:textId="77037A95" w:rsidR="0089273B" w:rsidRPr="00747D03" w:rsidRDefault="0089273B" w:rsidP="0089273B">
            <w:pPr>
              <w:pStyle w:val="Heading2"/>
              <w:ind w:left="0" w:firstLine="0"/>
              <w:jc w:val="center"/>
            </w:pPr>
            <w:bookmarkStart w:id="27" w:name="_Toc184297278"/>
            <w:r>
              <w:t>TÄGÀ SHÄW | THIRTY MILE</w:t>
            </w:r>
            <w:bookmarkEnd w:id="27"/>
            <w:r>
              <w:t xml:space="preserve"> </w:t>
            </w:r>
          </w:p>
        </w:tc>
      </w:tr>
      <w:tr w:rsidR="0089273B" w:rsidRPr="0089273B" w14:paraId="0EC6B47E" w14:textId="77777777" w:rsidTr="00E468C3">
        <w:tblPrEx>
          <w:tblCellMar>
            <w:top w:w="91" w:type="dxa"/>
          </w:tblCellMar>
        </w:tblPrEx>
        <w:trPr>
          <w:trHeight w:val="464"/>
        </w:trPr>
        <w:tc>
          <w:tcPr>
            <w:tcW w:w="9180" w:type="dxa"/>
            <w:shd w:val="clear" w:color="auto" w:fill="FFFFFF" w:themeFill="background1"/>
          </w:tcPr>
          <w:p w14:paraId="35C2D734" w14:textId="5D25E00C" w:rsidR="00DA2D41" w:rsidRPr="00747D03" w:rsidRDefault="0089273B" w:rsidP="0089273B">
            <w:pPr>
              <w:ind w:left="0" w:firstLine="0"/>
            </w:pPr>
            <w:r>
              <w:t>Selon l’entrepreneur qui s’occupe des emplacements de camping sur ce tronçon du fleuve Yukon, les pagayeurs et les plaisanciers y ont été nombreux en 2022. Au cours de leurs visites hebdomadaires ou bihebdomadaires, ses employés rencontraient généralement entre un et dix groupes de pagayeurs. La fréquentation a été maximale lors des longues fins de semaine et durant la saison de la chasse. Entre le 15 juillet et le 26 septembre, de deux à quatre bateaux transportant de quatre à dix personnes ont été comptés sur le cours d’eau à chaque visite d’entretien. En plus de voir à l’entretien régulier des installations de camping, l’entrepreneur a également fourni gratuitement du bois de feu, ce qui a permis de réduire considérablement les dommages que causent les visiteurs lorsqu’ils ramassent du bois sur place.</w:t>
            </w:r>
          </w:p>
        </w:tc>
      </w:tr>
      <w:tr w:rsidR="0089273B" w:rsidRPr="0089273B" w14:paraId="22E4843B" w14:textId="77777777" w:rsidTr="00E468C3">
        <w:tblPrEx>
          <w:tblCellMar>
            <w:top w:w="91" w:type="dxa"/>
          </w:tblCellMar>
        </w:tblPrEx>
        <w:trPr>
          <w:trHeight w:val="464"/>
        </w:trPr>
        <w:tc>
          <w:tcPr>
            <w:tcW w:w="9180" w:type="dxa"/>
            <w:shd w:val="clear" w:color="auto" w:fill="DEEAF6" w:themeFill="accent1" w:themeFillTint="33"/>
          </w:tcPr>
          <w:p w14:paraId="7289934A" w14:textId="4057FF21" w:rsidR="0089273B" w:rsidRDefault="0089273B" w:rsidP="0089273B">
            <w:pPr>
              <w:pStyle w:val="Heading2"/>
              <w:ind w:left="0" w:firstLine="0"/>
              <w:jc w:val="center"/>
            </w:pPr>
            <w:bookmarkStart w:id="28" w:name="_Toc184297279"/>
            <w:r>
              <w:lastRenderedPageBreak/>
              <w:t>TATSHENSHINI | SHÄWSHE CHÙ</w:t>
            </w:r>
            <w:bookmarkEnd w:id="28"/>
          </w:p>
        </w:tc>
      </w:tr>
      <w:tr w:rsidR="0089273B" w:rsidRPr="0089273B" w14:paraId="3F4C950D" w14:textId="77777777" w:rsidTr="00E468C3">
        <w:tblPrEx>
          <w:tblCellMar>
            <w:top w:w="91" w:type="dxa"/>
          </w:tblCellMar>
        </w:tblPrEx>
        <w:trPr>
          <w:trHeight w:val="464"/>
        </w:trPr>
        <w:tc>
          <w:tcPr>
            <w:tcW w:w="9180" w:type="dxa"/>
            <w:shd w:val="clear" w:color="auto" w:fill="FFFFFF" w:themeFill="background1"/>
          </w:tcPr>
          <w:p w14:paraId="4B5A40FB" w14:textId="77777777" w:rsidR="0089273B" w:rsidRDefault="0089273B" w:rsidP="0089273B">
            <w:pPr>
              <w:ind w:left="0" w:firstLine="0"/>
            </w:pPr>
            <w:r>
              <w:t xml:space="preserve">Dans l’ensemble, la partie de la rivière </w:t>
            </w:r>
            <w:proofErr w:type="spellStart"/>
            <w:r>
              <w:t>Tatshenshini</w:t>
            </w:r>
            <w:proofErr w:type="spellEnd"/>
            <w:r>
              <w:t xml:space="preserve"> qui coule au Yukon a conservé les valeurs naturelles, culturelles et patrimoniales grâce auxquelles elle a été désignée. Aucun permis d’utilisation industrielle des terres n’a été délivré, et le nombre de claims miniers est demeuré le même (aucun nouvel aménagement). La plus récente enquête de surveillance de l’impact des activités récréatives dans l’arrière-pays réalisée aux emplacements de camping du cours supérieur de la </w:t>
            </w:r>
            <w:proofErr w:type="spellStart"/>
            <w:r>
              <w:t>Tatshenshini</w:t>
            </w:r>
            <w:proofErr w:type="spellEnd"/>
            <w:r>
              <w:t xml:space="preserve"> date d’août 2019. Aux emplacements étudiés, aucun changement perceptible n’a été relevé, et les impacts étaient minimes. Les valeurs patrimoniales de la rivière ne sont pas véritablement menacées. Avec le début de la pandémie de COVID-19, qui a limité la provenance des touristes aux résidents de la Colombie-Britannique et des Territoires du Nord-Ouest, en plus de restreindre les possibilités de déplacements internationaux, le nombre de groupes commerciaux de pagayeurs a fortement diminué sur la </w:t>
            </w:r>
            <w:proofErr w:type="spellStart"/>
            <w:r>
              <w:t>Tatshenshini</w:t>
            </w:r>
            <w:proofErr w:type="spellEnd"/>
            <w:r>
              <w:t xml:space="preserve">. L’entreprise yukonnaise </w:t>
            </w:r>
            <w:proofErr w:type="spellStart"/>
            <w:r>
              <w:t>Tatshenshini</w:t>
            </w:r>
            <w:proofErr w:type="spellEnd"/>
            <w:r>
              <w:t xml:space="preserve"> </w:t>
            </w:r>
            <w:proofErr w:type="spellStart"/>
            <w:r>
              <w:t>Expediting</w:t>
            </w:r>
            <w:proofErr w:type="spellEnd"/>
            <w:r>
              <w:t xml:space="preserve">, qui propose des excursions de rafting d’une journée de la rivière Blanchard à la rivière </w:t>
            </w:r>
            <w:proofErr w:type="spellStart"/>
            <w:r>
              <w:t>Tatshenshini</w:t>
            </w:r>
            <w:proofErr w:type="spellEnd"/>
            <w:r>
              <w:t>, a vu sa clientèle diminuer de 70 % en 2020 par rapport à l’année précédente. Les chiffres ont rebondi en 2021, alors que la fréquentation s’est située à 80 % de ce qu’elle avait été en 2019. Les excursions de plusieurs jours le long de la rivière jusqu’à la côte de l’Alaska ont été complètement interdites durant la saison 2020, mais ont repris en 2021, malgré un nombre moins élevé de participants.</w:t>
            </w:r>
          </w:p>
          <w:p w14:paraId="33B19923" w14:textId="48411391" w:rsidR="0089273B" w:rsidRDefault="0089273B" w:rsidP="0089273B">
            <w:pPr>
              <w:ind w:left="0" w:firstLine="0"/>
            </w:pPr>
          </w:p>
        </w:tc>
      </w:tr>
      <w:tr w:rsidR="008C7EDC" w:rsidRPr="00B50BBE" w14:paraId="2205645C" w14:textId="77777777" w:rsidTr="00E468C3">
        <w:tblPrEx>
          <w:tblCellMar>
            <w:top w:w="91" w:type="dxa"/>
          </w:tblCellMar>
        </w:tblPrEx>
        <w:trPr>
          <w:trHeight w:val="464"/>
        </w:trPr>
        <w:tc>
          <w:tcPr>
            <w:tcW w:w="9180" w:type="dxa"/>
            <w:shd w:val="clear" w:color="auto" w:fill="DEEAF6" w:themeFill="accent1" w:themeFillTint="33"/>
          </w:tcPr>
          <w:p w14:paraId="6133F9DC" w14:textId="4AA7D6FF" w:rsidR="008C7EDC" w:rsidRPr="004735B2" w:rsidRDefault="004735B2" w:rsidP="007D65DB">
            <w:pPr>
              <w:pStyle w:val="Heading2"/>
              <w:ind w:left="0" w:firstLine="0"/>
              <w:jc w:val="center"/>
            </w:pPr>
            <w:bookmarkStart w:id="29" w:name="_Toc184297280"/>
            <w:r>
              <w:t>TSAIH TL'AK NJIK | BONNET PLUME</w:t>
            </w:r>
            <w:bookmarkEnd w:id="29"/>
          </w:p>
        </w:tc>
      </w:tr>
      <w:tr w:rsidR="008C7EDC" w14:paraId="325975CB" w14:textId="77777777" w:rsidTr="00E468C3">
        <w:tblPrEx>
          <w:tblCellMar>
            <w:top w:w="91" w:type="dxa"/>
          </w:tblCellMar>
        </w:tblPrEx>
        <w:trPr>
          <w:trHeight w:val="691"/>
        </w:trPr>
        <w:tc>
          <w:tcPr>
            <w:tcW w:w="9180" w:type="dxa"/>
          </w:tcPr>
          <w:p w14:paraId="31063D69" w14:textId="710D936A" w:rsidR="008C7EDC" w:rsidRDefault="0076589D" w:rsidP="0076589D">
            <w:pPr>
              <w:spacing w:after="0" w:line="259" w:lineRule="auto"/>
              <w:ind w:left="0" w:firstLine="0"/>
            </w:pPr>
            <w:r>
              <w:t>La mise en œuvre du Plan régional d’aménagement du bassin hydrographique de la rivière Peel de 2019 a commencé en 2020. L’élaboration du plan directeur du parc a cependant été retardée par d’autres priorités en matière d’aménagement des terres qui avaient préséance. Avec le plan d’aménagement et la création du parc, le bassin versant de la rivière Bonnet Plume est maintenant protégé de façon permanente. Celui-ci n’a d’ailleurs connu que très peu d’activités en 2022. L’étendue des activités récréatives qui y sont pr</w:t>
            </w:r>
            <w:r w:rsidR="00B52CC1">
              <w:t>a</w:t>
            </w:r>
            <w:r>
              <w:t xml:space="preserve">tiquées n’est pas bien comprise, mais compte tenu des conditions de </w:t>
            </w:r>
            <w:proofErr w:type="spellStart"/>
            <w:r>
              <w:t>pagayage</w:t>
            </w:r>
            <w:proofErr w:type="spellEnd"/>
            <w:r>
              <w:t xml:space="preserve"> très difficiles et des trois portages, on n’y voit généralement que deux ou trois groupes par année.</w:t>
            </w:r>
          </w:p>
          <w:p w14:paraId="43E7E56E" w14:textId="7A2D6D6E" w:rsidR="0089273B" w:rsidRPr="0076589D" w:rsidRDefault="0089273B" w:rsidP="0076589D">
            <w:pPr>
              <w:spacing w:after="0" w:line="259" w:lineRule="auto"/>
              <w:ind w:left="0" w:firstLine="0"/>
              <w:rPr>
                <w:rFonts w:ascii="Arial" w:eastAsia="Verdana" w:hAnsi="Arial" w:cs="Arial"/>
                <w:color w:val="auto"/>
                <w:spacing w:val="1"/>
                <w:position w:val="-1"/>
                <w:sz w:val="22"/>
              </w:rPr>
            </w:pPr>
          </w:p>
        </w:tc>
      </w:tr>
      <w:tr w:rsidR="00F57982" w14:paraId="2CA710FF" w14:textId="77777777" w:rsidTr="00E468C3">
        <w:trPr>
          <w:trHeight w:val="477"/>
        </w:trPr>
        <w:tc>
          <w:tcPr>
            <w:tcW w:w="9180" w:type="dxa"/>
            <w:shd w:val="clear" w:color="auto" w:fill="DEEAF6" w:themeFill="accent1" w:themeFillTint="33"/>
          </w:tcPr>
          <w:p w14:paraId="45216185" w14:textId="459A3747" w:rsidR="00F57982" w:rsidRDefault="00F57982" w:rsidP="00F57982">
            <w:pPr>
              <w:pStyle w:val="Heading2"/>
              <w:ind w:left="0" w:firstLine="0"/>
              <w:jc w:val="center"/>
            </w:pPr>
            <w:bookmarkStart w:id="30" w:name="_Toc184297281"/>
            <w:r>
              <w:lastRenderedPageBreak/>
              <w:t>TSIIGEHNJIK | ARCTIC RED</w:t>
            </w:r>
            <w:bookmarkEnd w:id="30"/>
          </w:p>
        </w:tc>
      </w:tr>
      <w:tr w:rsidR="00F57982" w14:paraId="6BE3CA3E" w14:textId="77777777" w:rsidTr="00E468C3">
        <w:trPr>
          <w:trHeight w:val="2610"/>
        </w:trPr>
        <w:tc>
          <w:tcPr>
            <w:tcW w:w="9180" w:type="dxa"/>
          </w:tcPr>
          <w:p w14:paraId="0E9E87E9" w14:textId="7A4780DF" w:rsidR="00F57982" w:rsidRDefault="00F57982" w:rsidP="00747D03">
            <w:pPr>
              <w:spacing w:after="0" w:line="259" w:lineRule="auto"/>
              <w:ind w:left="0" w:firstLine="0"/>
            </w:pPr>
            <w:r>
              <w:t xml:space="preserve">Le documentaire </w:t>
            </w:r>
            <w:proofErr w:type="spellStart"/>
            <w:r>
              <w:rPr>
                <w:i/>
                <w:iCs/>
              </w:rPr>
              <w:t>Paddling</w:t>
            </w:r>
            <w:proofErr w:type="spellEnd"/>
            <w:r>
              <w:rPr>
                <w:i/>
                <w:iCs/>
              </w:rPr>
              <w:t xml:space="preserve"> the </w:t>
            </w:r>
            <w:proofErr w:type="spellStart"/>
            <w:r>
              <w:rPr>
                <w:i/>
                <w:iCs/>
              </w:rPr>
              <w:t>Tsiigehnjiik</w:t>
            </w:r>
            <w:proofErr w:type="spellEnd"/>
            <w:r w:rsidR="00B50BBE">
              <w:rPr>
                <w:rStyle w:val="FootnoteReference"/>
              </w:rPr>
              <w:footnoteReference w:id="1"/>
            </w:r>
            <w:r>
              <w:t xml:space="preserve">, qui suit des élèves de l’école Chief Paul </w:t>
            </w:r>
            <w:proofErr w:type="spellStart"/>
            <w:r>
              <w:t>Niditchie</w:t>
            </w:r>
            <w:proofErr w:type="spellEnd"/>
            <w:r>
              <w:t xml:space="preserve"> lors d’une excursion sur la rivière, peut désormais être visionné en ligne. Cette classe de sciences de 9</w:t>
            </w:r>
            <w:r>
              <w:rPr>
                <w:vertAlign w:val="superscript"/>
              </w:rPr>
              <w:t>e</w:t>
            </w:r>
            <w:r>
              <w:t xml:space="preserve"> année travaille à un projet axé sur l’érosion à </w:t>
            </w:r>
            <w:proofErr w:type="spellStart"/>
            <w:r>
              <w:t>Vik'ooyendik</w:t>
            </w:r>
            <w:proofErr w:type="spellEnd"/>
            <w:r>
              <w:t xml:space="preserve"> (colline Church). L’utilisation traditionnelle et locale de la rivière </w:t>
            </w:r>
            <w:proofErr w:type="spellStart"/>
            <w:r>
              <w:t>Tsiigehnjik</w:t>
            </w:r>
            <w:proofErr w:type="spellEnd"/>
            <w:r>
              <w:t xml:space="preserve"> s’est poursuivie; on y pratique la pêche et la chasse de subsistance. D’autres programmes et activités annuels ont eu lieu, notamment </w:t>
            </w:r>
            <w:proofErr w:type="spellStart"/>
            <w:r>
              <w:t>Canoe</w:t>
            </w:r>
            <w:proofErr w:type="spellEnd"/>
            <w:r>
              <w:t xml:space="preserve"> </w:t>
            </w:r>
            <w:proofErr w:type="spellStart"/>
            <w:r>
              <w:t>Daze</w:t>
            </w:r>
            <w:proofErr w:type="spellEnd"/>
            <w:r>
              <w:t xml:space="preserve"> et la surveillance du débit et de la qualité de l’eau. Un forage dirigé a eu lieu sous la rivière </w:t>
            </w:r>
            <w:proofErr w:type="spellStart"/>
            <w:r>
              <w:t>Tsiigehnjik</w:t>
            </w:r>
            <w:proofErr w:type="spellEnd"/>
            <w:r>
              <w:t xml:space="preserve"> dans le cadre du projet de fibre optique de la route Dempster. L’infestation par la tordeuse des bourgeons de l’épinette des forêts qui longent le cours sud de la rivière demeure grave.</w:t>
            </w:r>
          </w:p>
          <w:p w14:paraId="407537A0" w14:textId="1CD2938D" w:rsidR="0089273B" w:rsidRDefault="0089273B" w:rsidP="00747D03">
            <w:pPr>
              <w:spacing w:after="0" w:line="259" w:lineRule="auto"/>
              <w:ind w:left="0" w:firstLine="0"/>
            </w:pPr>
          </w:p>
        </w:tc>
      </w:tr>
    </w:tbl>
    <w:p w14:paraId="0264DFCC" w14:textId="77777777" w:rsidR="00275958" w:rsidRDefault="00275958" w:rsidP="00EF2F0C">
      <w:pPr>
        <w:spacing w:after="0" w:line="259" w:lineRule="auto"/>
        <w:ind w:left="0" w:firstLine="0"/>
      </w:pPr>
    </w:p>
    <w:sectPr w:rsidR="00275958" w:rsidSect="005F3731">
      <w:headerReference w:type="even" r:id="rId8"/>
      <w:headerReference w:type="default" r:id="rId9"/>
      <w:footerReference w:type="even" r:id="rId10"/>
      <w:footerReference w:type="default" r:id="rId11"/>
      <w:headerReference w:type="first" r:id="rId12"/>
      <w:footerReference w:type="first" r:id="rId13"/>
      <w:pgSz w:w="12240" w:h="15840"/>
      <w:pgMar w:top="1452" w:right="1820" w:bottom="1501" w:left="1440" w:header="4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F80E" w14:textId="77777777" w:rsidR="004E3325" w:rsidRDefault="004E3325">
      <w:pPr>
        <w:spacing w:after="0"/>
      </w:pPr>
      <w:r>
        <w:separator/>
      </w:r>
    </w:p>
  </w:endnote>
  <w:endnote w:type="continuationSeparator" w:id="0">
    <w:p w14:paraId="432ADA88" w14:textId="77777777" w:rsidR="004E3325" w:rsidRDefault="004E3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8A09" w14:textId="77777777" w:rsidR="00B52CC1" w:rsidRDefault="00B5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797306"/>
      <w:docPartObj>
        <w:docPartGallery w:val="Page Numbers (Bottom of Page)"/>
        <w:docPartUnique/>
      </w:docPartObj>
    </w:sdtPr>
    <w:sdtEndPr>
      <w:rPr>
        <w:noProof/>
      </w:rPr>
    </w:sdtEndPr>
    <w:sdtContent>
      <w:p w14:paraId="091F608D" w14:textId="77777777" w:rsidR="005F3731" w:rsidRDefault="005F3731">
        <w:pPr>
          <w:pStyle w:val="Footer"/>
          <w:jc w:val="right"/>
        </w:pPr>
        <w:r>
          <w:fldChar w:fldCharType="begin"/>
        </w:r>
        <w:r>
          <w:instrText xml:space="preserve"> PAGE   \* MERGEFORMAT </w:instrText>
        </w:r>
        <w:r>
          <w:fldChar w:fldCharType="separate"/>
        </w:r>
        <w:r w:rsidR="0066677B">
          <w:t>17</w:t>
        </w:r>
        <w:r>
          <w:fldChar w:fldCharType="end"/>
        </w:r>
      </w:p>
    </w:sdtContent>
  </w:sdt>
  <w:p w14:paraId="13C7AFFB" w14:textId="77777777" w:rsidR="005F3731" w:rsidRDefault="005F3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2CAA" w14:textId="77777777" w:rsidR="00B52CC1" w:rsidRDefault="00B5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C888" w14:textId="77777777" w:rsidR="004E3325" w:rsidRDefault="004E3325">
      <w:pPr>
        <w:spacing w:after="0"/>
      </w:pPr>
      <w:r>
        <w:separator/>
      </w:r>
    </w:p>
  </w:footnote>
  <w:footnote w:type="continuationSeparator" w:id="0">
    <w:p w14:paraId="16F2EB47" w14:textId="77777777" w:rsidR="004E3325" w:rsidRDefault="004E3325">
      <w:pPr>
        <w:spacing w:after="0"/>
      </w:pPr>
      <w:r>
        <w:continuationSeparator/>
      </w:r>
    </w:p>
  </w:footnote>
  <w:footnote w:id="1">
    <w:p w14:paraId="2427EAD7" w14:textId="000B403E" w:rsidR="00B50BBE" w:rsidRPr="00B50BBE" w:rsidRDefault="00B50BBE" w:rsidP="00B50BBE">
      <w:pPr>
        <w:pStyle w:val="Default"/>
      </w:pPr>
      <w:r>
        <w:rPr>
          <w:rStyle w:val="FootnoteReference"/>
        </w:rPr>
        <w:footnoteRef/>
      </w:r>
      <w:r>
        <w:t xml:space="preserve"> </w:t>
      </w:r>
      <w:r>
        <w:rPr>
          <w:sz w:val="16"/>
        </w:rPr>
        <w:t xml:space="preserve">Orthographe utilisée dans le titre du film. L’orthographe officielle est Tsiigehnjik; voir la </w:t>
      </w:r>
      <w:hyperlink r:id="rId1" w:history="1">
        <w:r>
          <w:rPr>
            <w:rStyle w:val="Hyperlink"/>
            <w:sz w:val="16"/>
          </w:rPr>
          <w:t>Base de données toponymiques du Canada</w:t>
        </w:r>
      </w:hyperlink>
      <w:r>
        <w:rPr>
          <w:sz w:val="16"/>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442D" w14:textId="77777777" w:rsidR="0040558F" w:rsidRDefault="0040558F">
    <w:pPr>
      <w:spacing w:after="0" w:line="259" w:lineRule="auto"/>
      <w:ind w:left="0" w:right="-700" w:firstLine="0"/>
    </w:pPr>
    <w:r>
      <w:rPr>
        <w:noProof/>
      </w:rPr>
      <w:drawing>
        <wp:anchor distT="0" distB="0" distL="114300" distR="114300" simplePos="0" relativeHeight="251658240" behindDoc="0" locked="0" layoutInCell="1" allowOverlap="0" wp14:anchorId="2600EF45" wp14:editId="0CE7DE4B">
          <wp:simplePos x="0" y="0"/>
          <wp:positionH relativeFrom="page">
            <wp:posOffset>4777740</wp:posOffset>
          </wp:positionH>
          <wp:positionV relativeFrom="page">
            <wp:posOffset>266700</wp:posOffset>
          </wp:positionV>
          <wp:extent cx="2283460" cy="4699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83460" cy="469900"/>
                  </a:xfrm>
                  <a:prstGeom prst="rect">
                    <a:avLst/>
                  </a:prstGeom>
                </pic:spPr>
              </pic:pic>
            </a:graphicData>
          </a:graphic>
        </wp:anchor>
      </w:drawing>
    </w:r>
    <w:r>
      <w:rPr>
        <w:sz w:val="22"/>
      </w:rPr>
      <w:t xml:space="preserve"> </w:t>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A42B" w14:textId="77777777" w:rsidR="0040558F" w:rsidRDefault="0040558F">
    <w:pPr>
      <w:spacing w:after="0" w:line="259" w:lineRule="auto"/>
      <w:ind w:left="0" w:right="-700" w:firstLine="0"/>
      <w:rPr>
        <w:sz w:val="22"/>
      </w:rPr>
    </w:pPr>
    <w:r>
      <w:rPr>
        <w:noProof/>
      </w:rPr>
      <w:drawing>
        <wp:anchor distT="0" distB="0" distL="114300" distR="114300" simplePos="0" relativeHeight="251659264" behindDoc="0" locked="0" layoutInCell="1" allowOverlap="0" wp14:anchorId="3647ADE0" wp14:editId="76E640EA">
          <wp:simplePos x="0" y="0"/>
          <wp:positionH relativeFrom="page">
            <wp:posOffset>4777740</wp:posOffset>
          </wp:positionH>
          <wp:positionV relativeFrom="page">
            <wp:posOffset>266700</wp:posOffset>
          </wp:positionV>
          <wp:extent cx="2283460" cy="4699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83460" cy="469900"/>
                  </a:xfrm>
                  <a:prstGeom prst="rect">
                    <a:avLst/>
                  </a:prstGeom>
                </pic:spPr>
              </pic:pic>
            </a:graphicData>
          </a:graphic>
        </wp:anchor>
      </w:drawing>
    </w:r>
    <w:r>
      <w:rPr>
        <w:sz w:val="22"/>
      </w:rPr>
      <w:t xml:space="preserve"> </w:t>
    </w:r>
    <w:r>
      <w:rPr>
        <w:sz w:val="22"/>
      </w:rPr>
      <w:tab/>
    </w:r>
  </w:p>
  <w:p w14:paraId="7022ECF2" w14:textId="77777777" w:rsidR="0040558F" w:rsidRDefault="0040558F">
    <w:pPr>
      <w:spacing w:after="0" w:line="259" w:lineRule="auto"/>
      <w:ind w:left="0" w:right="-700" w:firstLine="0"/>
      <w:rPr>
        <w:sz w:val="22"/>
      </w:rPr>
    </w:pPr>
  </w:p>
  <w:p w14:paraId="06E8EC57" w14:textId="77777777" w:rsidR="0040558F" w:rsidRDefault="0040558F">
    <w:pPr>
      <w:spacing w:after="0" w:line="259" w:lineRule="auto"/>
      <w:ind w:left="0" w:right="-700" w:firstLine="0"/>
      <w:rPr>
        <w:sz w:val="22"/>
      </w:rPr>
    </w:pPr>
  </w:p>
  <w:p w14:paraId="30BF72CA" w14:textId="77777777" w:rsidR="0040558F" w:rsidRDefault="0040558F">
    <w:pPr>
      <w:spacing w:after="0" w:line="259" w:lineRule="auto"/>
      <w:ind w:left="0" w:right="-70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854D" w14:textId="77777777" w:rsidR="0040558F" w:rsidRDefault="0040558F">
    <w:pPr>
      <w:spacing w:after="0" w:line="259" w:lineRule="auto"/>
      <w:ind w:left="0" w:right="-700" w:firstLine="0"/>
    </w:pPr>
    <w:r>
      <w:rPr>
        <w:noProof/>
      </w:rPr>
      <w:drawing>
        <wp:anchor distT="0" distB="0" distL="114300" distR="114300" simplePos="0" relativeHeight="251660288" behindDoc="0" locked="0" layoutInCell="1" allowOverlap="0" wp14:anchorId="7A554957" wp14:editId="34EB8405">
          <wp:simplePos x="0" y="0"/>
          <wp:positionH relativeFrom="page">
            <wp:posOffset>4777740</wp:posOffset>
          </wp:positionH>
          <wp:positionV relativeFrom="page">
            <wp:posOffset>266700</wp:posOffset>
          </wp:positionV>
          <wp:extent cx="2283460" cy="469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83460" cy="469900"/>
                  </a:xfrm>
                  <a:prstGeom prst="rect">
                    <a:avLst/>
                  </a:prstGeom>
                </pic:spPr>
              </pic:pic>
            </a:graphicData>
          </a:graphic>
        </wp:anchor>
      </w:drawing>
    </w:r>
    <w:r>
      <w:rPr>
        <w:sz w:val="22"/>
      </w:rPr>
      <w:t xml:space="preserve"> </w:t>
    </w:r>
    <w:r>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958"/>
    <w:rsid w:val="00055FFE"/>
    <w:rsid w:val="00081672"/>
    <w:rsid w:val="00084DAC"/>
    <w:rsid w:val="000D2FBD"/>
    <w:rsid w:val="000E2387"/>
    <w:rsid w:val="00115AAF"/>
    <w:rsid w:val="00140F58"/>
    <w:rsid w:val="00162F13"/>
    <w:rsid w:val="001D0F77"/>
    <w:rsid w:val="002003EA"/>
    <w:rsid w:val="00221371"/>
    <w:rsid w:val="00242263"/>
    <w:rsid w:val="002708F7"/>
    <w:rsid w:val="00275958"/>
    <w:rsid w:val="00280CE1"/>
    <w:rsid w:val="00292585"/>
    <w:rsid w:val="00293DC4"/>
    <w:rsid w:val="002D4282"/>
    <w:rsid w:val="002F4667"/>
    <w:rsid w:val="00320B86"/>
    <w:rsid w:val="00336E82"/>
    <w:rsid w:val="00371339"/>
    <w:rsid w:val="00371839"/>
    <w:rsid w:val="00374531"/>
    <w:rsid w:val="003A64AC"/>
    <w:rsid w:val="003F37CD"/>
    <w:rsid w:val="004001DE"/>
    <w:rsid w:val="0040558F"/>
    <w:rsid w:val="004058DD"/>
    <w:rsid w:val="00435465"/>
    <w:rsid w:val="00450F85"/>
    <w:rsid w:val="004735B2"/>
    <w:rsid w:val="004933CD"/>
    <w:rsid w:val="004B0ADD"/>
    <w:rsid w:val="004E3325"/>
    <w:rsid w:val="0053646D"/>
    <w:rsid w:val="0056146A"/>
    <w:rsid w:val="005A15DB"/>
    <w:rsid w:val="005C071D"/>
    <w:rsid w:val="005C56F8"/>
    <w:rsid w:val="005D3A3A"/>
    <w:rsid w:val="005F3731"/>
    <w:rsid w:val="006026B7"/>
    <w:rsid w:val="006104DA"/>
    <w:rsid w:val="00623D73"/>
    <w:rsid w:val="00652506"/>
    <w:rsid w:val="0066677B"/>
    <w:rsid w:val="006819E4"/>
    <w:rsid w:val="006A793D"/>
    <w:rsid w:val="006E2D03"/>
    <w:rsid w:val="006F2589"/>
    <w:rsid w:val="00747118"/>
    <w:rsid w:val="00747D03"/>
    <w:rsid w:val="00762F4C"/>
    <w:rsid w:val="0076589D"/>
    <w:rsid w:val="00780625"/>
    <w:rsid w:val="00784A52"/>
    <w:rsid w:val="007D65DB"/>
    <w:rsid w:val="007E207B"/>
    <w:rsid w:val="007F6F17"/>
    <w:rsid w:val="008000EF"/>
    <w:rsid w:val="008029B3"/>
    <w:rsid w:val="00812EA5"/>
    <w:rsid w:val="00862ED3"/>
    <w:rsid w:val="00867036"/>
    <w:rsid w:val="0089273B"/>
    <w:rsid w:val="008A5923"/>
    <w:rsid w:val="008B6102"/>
    <w:rsid w:val="008C7EDC"/>
    <w:rsid w:val="008D2501"/>
    <w:rsid w:val="008D46AB"/>
    <w:rsid w:val="008F11A0"/>
    <w:rsid w:val="008F721E"/>
    <w:rsid w:val="00943BC6"/>
    <w:rsid w:val="00947AB3"/>
    <w:rsid w:val="00947E5A"/>
    <w:rsid w:val="00952B00"/>
    <w:rsid w:val="00954566"/>
    <w:rsid w:val="00961AD0"/>
    <w:rsid w:val="009A6ACC"/>
    <w:rsid w:val="009C2A69"/>
    <w:rsid w:val="009F383B"/>
    <w:rsid w:val="00A569C8"/>
    <w:rsid w:val="00A87EAB"/>
    <w:rsid w:val="00A9376D"/>
    <w:rsid w:val="00AA3C02"/>
    <w:rsid w:val="00AD4383"/>
    <w:rsid w:val="00AF3F6F"/>
    <w:rsid w:val="00AF680C"/>
    <w:rsid w:val="00B038BB"/>
    <w:rsid w:val="00B11B1F"/>
    <w:rsid w:val="00B25EB7"/>
    <w:rsid w:val="00B469EE"/>
    <w:rsid w:val="00B50BBE"/>
    <w:rsid w:val="00B52CC1"/>
    <w:rsid w:val="00B73F82"/>
    <w:rsid w:val="00B804D5"/>
    <w:rsid w:val="00B848EB"/>
    <w:rsid w:val="00BB32E8"/>
    <w:rsid w:val="00C1355F"/>
    <w:rsid w:val="00C82E43"/>
    <w:rsid w:val="00CB1C98"/>
    <w:rsid w:val="00CD69CA"/>
    <w:rsid w:val="00D011C4"/>
    <w:rsid w:val="00D21CD4"/>
    <w:rsid w:val="00D21F1B"/>
    <w:rsid w:val="00D228ED"/>
    <w:rsid w:val="00D37AC4"/>
    <w:rsid w:val="00D466CD"/>
    <w:rsid w:val="00D747AF"/>
    <w:rsid w:val="00DA2D41"/>
    <w:rsid w:val="00DB14B8"/>
    <w:rsid w:val="00DB1794"/>
    <w:rsid w:val="00E077A2"/>
    <w:rsid w:val="00E21089"/>
    <w:rsid w:val="00E429EB"/>
    <w:rsid w:val="00E468C3"/>
    <w:rsid w:val="00E762C5"/>
    <w:rsid w:val="00E85FCE"/>
    <w:rsid w:val="00EA2774"/>
    <w:rsid w:val="00EB5B24"/>
    <w:rsid w:val="00ED729C"/>
    <w:rsid w:val="00EF2F0C"/>
    <w:rsid w:val="00EF5EDC"/>
    <w:rsid w:val="00F056B7"/>
    <w:rsid w:val="00F321A6"/>
    <w:rsid w:val="00F32E6D"/>
    <w:rsid w:val="00F57982"/>
    <w:rsid w:val="00F80C89"/>
    <w:rsid w:val="00F87EEA"/>
    <w:rsid w:val="00F93B66"/>
    <w:rsid w:val="00F9710F"/>
    <w:rsid w:val="00FB6DE6"/>
    <w:rsid w:val="00FC3117"/>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571F"/>
  <w15:docId w15:val="{FBDBFF97-6185-4777-A288-5045844C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06"/>
    <w:pPr>
      <w:spacing w:after="3" w:line="240" w:lineRule="auto"/>
      <w:ind w:left="37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370" w:hanging="10"/>
      <w:jc w:val="center"/>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F93B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3B6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93B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3B66"/>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93B66"/>
    <w:pPr>
      <w:spacing w:after="0" w:line="240" w:lineRule="auto"/>
    </w:pPr>
  </w:style>
  <w:style w:type="character" w:customStyle="1" w:styleId="NoSpacingChar">
    <w:name w:val="No Spacing Char"/>
    <w:basedOn w:val="DefaultParagraphFont"/>
    <w:link w:val="NoSpacing"/>
    <w:uiPriority w:val="1"/>
    <w:rsid w:val="00F93B66"/>
  </w:style>
  <w:style w:type="paragraph" w:styleId="TOCHeading">
    <w:name w:val="TOC Heading"/>
    <w:basedOn w:val="Heading1"/>
    <w:next w:val="Normal"/>
    <w:uiPriority w:val="39"/>
    <w:unhideWhenUsed/>
    <w:qFormat/>
    <w:rsid w:val="00F93B66"/>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292585"/>
    <w:pPr>
      <w:tabs>
        <w:tab w:val="right" w:leader="dot" w:pos="8970"/>
      </w:tabs>
      <w:spacing w:after="100"/>
      <w:ind w:left="240"/>
    </w:pPr>
    <w:rPr>
      <w:noProof/>
      <w:sz w:val="20"/>
    </w:rPr>
  </w:style>
  <w:style w:type="paragraph" w:styleId="TOC1">
    <w:name w:val="toc 1"/>
    <w:basedOn w:val="Normal"/>
    <w:next w:val="Normal"/>
    <w:autoRedefine/>
    <w:uiPriority w:val="39"/>
    <w:unhideWhenUsed/>
    <w:rsid w:val="00F93B66"/>
    <w:pPr>
      <w:spacing w:after="100"/>
      <w:ind w:left="0"/>
    </w:pPr>
  </w:style>
  <w:style w:type="character" w:styleId="Hyperlink">
    <w:name w:val="Hyperlink"/>
    <w:basedOn w:val="DefaultParagraphFont"/>
    <w:uiPriority w:val="99"/>
    <w:unhideWhenUsed/>
    <w:rsid w:val="00F93B66"/>
    <w:rPr>
      <w:color w:val="0563C1" w:themeColor="hyperlink"/>
      <w:u w:val="single"/>
    </w:rPr>
  </w:style>
  <w:style w:type="paragraph" w:styleId="Footer">
    <w:name w:val="footer"/>
    <w:basedOn w:val="Normal"/>
    <w:link w:val="FooterChar"/>
    <w:uiPriority w:val="99"/>
    <w:unhideWhenUsed/>
    <w:rsid w:val="00336E82"/>
    <w:pPr>
      <w:tabs>
        <w:tab w:val="center" w:pos="4680"/>
        <w:tab w:val="right" w:pos="9360"/>
      </w:tabs>
      <w:spacing w:after="0"/>
    </w:pPr>
  </w:style>
  <w:style w:type="character" w:customStyle="1" w:styleId="FooterChar">
    <w:name w:val="Footer Char"/>
    <w:basedOn w:val="DefaultParagraphFont"/>
    <w:link w:val="Footer"/>
    <w:uiPriority w:val="99"/>
    <w:rsid w:val="00336E82"/>
    <w:rPr>
      <w:rFonts w:ascii="Calibri" w:eastAsia="Calibri" w:hAnsi="Calibri" w:cs="Calibri"/>
      <w:color w:val="000000"/>
      <w:sz w:val="24"/>
    </w:rPr>
  </w:style>
  <w:style w:type="table" w:styleId="TableGrid0">
    <w:name w:val="Table Grid"/>
    <w:basedOn w:val="TableNormal"/>
    <w:uiPriority w:val="39"/>
    <w:rsid w:val="00D7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9E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7982"/>
    <w:rPr>
      <w:sz w:val="16"/>
      <w:szCs w:val="16"/>
    </w:rPr>
  </w:style>
  <w:style w:type="paragraph" w:styleId="CommentText">
    <w:name w:val="annotation text"/>
    <w:basedOn w:val="Normal"/>
    <w:link w:val="CommentTextChar"/>
    <w:uiPriority w:val="99"/>
    <w:unhideWhenUsed/>
    <w:rsid w:val="00F57982"/>
    <w:rPr>
      <w:sz w:val="20"/>
      <w:szCs w:val="20"/>
    </w:rPr>
  </w:style>
  <w:style w:type="character" w:customStyle="1" w:styleId="CommentTextChar">
    <w:name w:val="Comment Text Char"/>
    <w:basedOn w:val="DefaultParagraphFont"/>
    <w:link w:val="CommentText"/>
    <w:uiPriority w:val="99"/>
    <w:rsid w:val="00F5798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57982"/>
    <w:rPr>
      <w:b/>
      <w:bCs/>
    </w:rPr>
  </w:style>
  <w:style w:type="character" w:customStyle="1" w:styleId="CommentSubjectChar">
    <w:name w:val="Comment Subject Char"/>
    <w:basedOn w:val="CommentTextChar"/>
    <w:link w:val="CommentSubject"/>
    <w:uiPriority w:val="99"/>
    <w:semiHidden/>
    <w:rsid w:val="00F57982"/>
    <w:rPr>
      <w:rFonts w:ascii="Calibri" w:eastAsia="Calibri" w:hAnsi="Calibri" w:cs="Calibri"/>
      <w:b/>
      <w:bCs/>
      <w:color w:val="000000"/>
      <w:sz w:val="20"/>
      <w:szCs w:val="20"/>
    </w:rPr>
  </w:style>
  <w:style w:type="paragraph" w:styleId="Revision">
    <w:name w:val="Revision"/>
    <w:hidden/>
    <w:uiPriority w:val="99"/>
    <w:semiHidden/>
    <w:rsid w:val="00162F13"/>
    <w:pPr>
      <w:spacing w:after="0" w:line="240" w:lineRule="auto"/>
    </w:pPr>
    <w:rPr>
      <w:rFonts w:ascii="Calibri" w:eastAsia="Calibri" w:hAnsi="Calibri" w:cs="Calibri"/>
      <w:color w:val="000000"/>
      <w:sz w:val="24"/>
    </w:rPr>
  </w:style>
  <w:style w:type="paragraph" w:styleId="FootnoteText">
    <w:name w:val="footnote text"/>
    <w:basedOn w:val="Normal"/>
    <w:link w:val="FootnoteTextChar"/>
    <w:uiPriority w:val="99"/>
    <w:semiHidden/>
    <w:unhideWhenUsed/>
    <w:rsid w:val="00B50BBE"/>
    <w:pPr>
      <w:spacing w:after="0"/>
    </w:pPr>
    <w:rPr>
      <w:sz w:val="20"/>
      <w:szCs w:val="20"/>
    </w:rPr>
  </w:style>
  <w:style w:type="character" w:customStyle="1" w:styleId="FootnoteTextChar">
    <w:name w:val="Footnote Text Char"/>
    <w:basedOn w:val="DefaultParagraphFont"/>
    <w:link w:val="FootnoteText"/>
    <w:uiPriority w:val="99"/>
    <w:semiHidden/>
    <w:rsid w:val="00B50BB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B50BBE"/>
    <w:rPr>
      <w:vertAlign w:val="superscript"/>
    </w:rPr>
  </w:style>
  <w:style w:type="character" w:styleId="UnresolvedMention">
    <w:name w:val="Unresolved Mention"/>
    <w:basedOn w:val="DefaultParagraphFont"/>
    <w:uiPriority w:val="99"/>
    <w:semiHidden/>
    <w:unhideWhenUsed/>
    <w:rsid w:val="00B5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0536">
      <w:bodyDiv w:val="1"/>
      <w:marLeft w:val="0"/>
      <w:marRight w:val="0"/>
      <w:marTop w:val="0"/>
      <w:marBottom w:val="0"/>
      <w:divBdr>
        <w:top w:val="none" w:sz="0" w:space="0" w:color="auto"/>
        <w:left w:val="none" w:sz="0" w:space="0" w:color="auto"/>
        <w:bottom w:val="none" w:sz="0" w:space="0" w:color="auto"/>
        <w:right w:val="none" w:sz="0" w:space="0" w:color="auto"/>
      </w:divBdr>
    </w:div>
    <w:div w:id="276104102">
      <w:bodyDiv w:val="1"/>
      <w:marLeft w:val="0"/>
      <w:marRight w:val="0"/>
      <w:marTop w:val="0"/>
      <w:marBottom w:val="0"/>
      <w:divBdr>
        <w:top w:val="none" w:sz="0" w:space="0" w:color="auto"/>
        <w:left w:val="none" w:sz="0" w:space="0" w:color="auto"/>
        <w:bottom w:val="none" w:sz="0" w:space="0" w:color="auto"/>
        <w:right w:val="none" w:sz="0" w:space="0" w:color="auto"/>
      </w:divBdr>
    </w:div>
    <w:div w:id="292714985">
      <w:bodyDiv w:val="1"/>
      <w:marLeft w:val="0"/>
      <w:marRight w:val="0"/>
      <w:marTop w:val="0"/>
      <w:marBottom w:val="0"/>
      <w:divBdr>
        <w:top w:val="none" w:sz="0" w:space="0" w:color="auto"/>
        <w:left w:val="none" w:sz="0" w:space="0" w:color="auto"/>
        <w:bottom w:val="none" w:sz="0" w:space="0" w:color="auto"/>
        <w:right w:val="none" w:sz="0" w:space="0" w:color="auto"/>
      </w:divBdr>
    </w:div>
    <w:div w:id="812140810">
      <w:bodyDiv w:val="1"/>
      <w:marLeft w:val="0"/>
      <w:marRight w:val="0"/>
      <w:marTop w:val="0"/>
      <w:marBottom w:val="0"/>
      <w:divBdr>
        <w:top w:val="none" w:sz="0" w:space="0" w:color="auto"/>
        <w:left w:val="none" w:sz="0" w:space="0" w:color="auto"/>
        <w:bottom w:val="none" w:sz="0" w:space="0" w:color="auto"/>
        <w:right w:val="none" w:sz="0" w:space="0" w:color="auto"/>
      </w:divBdr>
    </w:div>
    <w:div w:id="939096611">
      <w:bodyDiv w:val="1"/>
      <w:marLeft w:val="0"/>
      <w:marRight w:val="0"/>
      <w:marTop w:val="0"/>
      <w:marBottom w:val="0"/>
      <w:divBdr>
        <w:top w:val="none" w:sz="0" w:space="0" w:color="auto"/>
        <w:left w:val="none" w:sz="0" w:space="0" w:color="auto"/>
        <w:bottom w:val="none" w:sz="0" w:space="0" w:color="auto"/>
        <w:right w:val="none" w:sz="0" w:space="0" w:color="auto"/>
      </w:divBdr>
    </w:div>
    <w:div w:id="967513919">
      <w:bodyDiv w:val="1"/>
      <w:marLeft w:val="0"/>
      <w:marRight w:val="0"/>
      <w:marTop w:val="0"/>
      <w:marBottom w:val="0"/>
      <w:divBdr>
        <w:top w:val="none" w:sz="0" w:space="0" w:color="auto"/>
        <w:left w:val="none" w:sz="0" w:space="0" w:color="auto"/>
        <w:bottom w:val="none" w:sz="0" w:space="0" w:color="auto"/>
        <w:right w:val="none" w:sz="0" w:space="0" w:color="auto"/>
      </w:divBdr>
    </w:div>
    <w:div w:id="1281491705">
      <w:bodyDiv w:val="1"/>
      <w:marLeft w:val="0"/>
      <w:marRight w:val="0"/>
      <w:marTop w:val="0"/>
      <w:marBottom w:val="0"/>
      <w:divBdr>
        <w:top w:val="none" w:sz="0" w:space="0" w:color="auto"/>
        <w:left w:val="none" w:sz="0" w:space="0" w:color="auto"/>
        <w:bottom w:val="none" w:sz="0" w:space="0" w:color="auto"/>
        <w:right w:val="none" w:sz="0" w:space="0" w:color="auto"/>
      </w:divBdr>
    </w:div>
    <w:div w:id="1580482017">
      <w:bodyDiv w:val="1"/>
      <w:marLeft w:val="0"/>
      <w:marRight w:val="0"/>
      <w:marTop w:val="0"/>
      <w:marBottom w:val="0"/>
      <w:divBdr>
        <w:top w:val="none" w:sz="0" w:space="0" w:color="auto"/>
        <w:left w:val="none" w:sz="0" w:space="0" w:color="auto"/>
        <w:bottom w:val="none" w:sz="0" w:space="0" w:color="auto"/>
        <w:right w:val="none" w:sz="0" w:space="0" w:color="auto"/>
      </w:divBdr>
    </w:div>
    <w:div w:id="1676610918">
      <w:bodyDiv w:val="1"/>
      <w:marLeft w:val="0"/>
      <w:marRight w:val="0"/>
      <w:marTop w:val="0"/>
      <w:marBottom w:val="0"/>
      <w:divBdr>
        <w:top w:val="none" w:sz="0" w:space="0" w:color="auto"/>
        <w:left w:val="none" w:sz="0" w:space="0" w:color="auto"/>
        <w:bottom w:val="none" w:sz="0" w:space="0" w:color="auto"/>
        <w:right w:val="none" w:sz="0" w:space="0" w:color="auto"/>
      </w:divBdr>
    </w:div>
    <w:div w:id="1784611660">
      <w:bodyDiv w:val="1"/>
      <w:marLeft w:val="0"/>
      <w:marRight w:val="0"/>
      <w:marTop w:val="0"/>
      <w:marBottom w:val="0"/>
      <w:divBdr>
        <w:top w:val="none" w:sz="0" w:space="0" w:color="auto"/>
        <w:left w:val="none" w:sz="0" w:space="0" w:color="auto"/>
        <w:bottom w:val="none" w:sz="0" w:space="0" w:color="auto"/>
        <w:right w:val="none" w:sz="0" w:space="0" w:color="auto"/>
      </w:divBdr>
    </w:div>
    <w:div w:id="186200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eonames.nrcan.gc.ca/recherche-de-noms-de-lieux/unique?id=LCBT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6F3AEBC7F4AA7802024C0D0A318C8"/>
        <w:category>
          <w:name w:val="General"/>
          <w:gallery w:val="placeholder"/>
        </w:category>
        <w:types>
          <w:type w:val="bbPlcHdr"/>
        </w:types>
        <w:behaviors>
          <w:behavior w:val="content"/>
        </w:behaviors>
        <w:guid w:val="{A676B26F-BC0D-4AFA-B59F-D7D6CAF60228}"/>
      </w:docPartPr>
      <w:docPartBody>
        <w:p w:rsidR="001345E7" w:rsidRDefault="001345E7" w:rsidP="001345E7">
          <w:pPr>
            <w:pStyle w:val="8DA6F3AEBC7F4AA7802024C0D0A318C8"/>
          </w:pPr>
          <w:r>
            <w:rPr>
              <w:rFonts w:asciiTheme="majorHAnsi" w:eastAsiaTheme="majorEastAsia" w:hAnsiTheme="majorHAnsi" w:cstheme="majorBidi"/>
              <w:caps/>
              <w:color w:val="4472C4" w:themeColor="accent1"/>
              <w:sz w:val="80"/>
              <w:szCs w:val="80"/>
            </w:rPr>
            <w:t>[Document title]</w:t>
          </w:r>
        </w:p>
      </w:docPartBody>
    </w:docPart>
    <w:docPart>
      <w:docPartPr>
        <w:name w:val="29EC6533116E4C848F3836C5B2DBE872"/>
        <w:category>
          <w:name w:val="General"/>
          <w:gallery w:val="placeholder"/>
        </w:category>
        <w:types>
          <w:type w:val="bbPlcHdr"/>
        </w:types>
        <w:behaviors>
          <w:behavior w:val="content"/>
        </w:behaviors>
        <w:guid w:val="{ADDA5E0C-5251-4DCA-A8C2-1205C6C76424}"/>
      </w:docPartPr>
      <w:docPartBody>
        <w:p w:rsidR="001345E7" w:rsidRDefault="001345E7" w:rsidP="001345E7">
          <w:pPr>
            <w:pStyle w:val="29EC6533116E4C848F3836C5B2DBE872"/>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E7"/>
    <w:rsid w:val="001345E7"/>
    <w:rsid w:val="00A07CCC"/>
    <w:rsid w:val="00CC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6F3AEBC7F4AA7802024C0D0A318C8">
    <w:name w:val="8DA6F3AEBC7F4AA7802024C0D0A318C8"/>
    <w:rsid w:val="001345E7"/>
  </w:style>
  <w:style w:type="paragraph" w:customStyle="1" w:styleId="29EC6533116E4C848F3836C5B2DBE872">
    <w:name w:val="29EC6533116E4C848F3836C5B2DBE872"/>
    <w:rsid w:val="00134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4F213-8BF9-4556-B28A-9BB2F935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4530</Words>
  <Characters>25824</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2022 Annual monitoring reports summary</vt:lpstr>
      <vt:lpstr>2022 Annual monitoring reports summary</vt:lpstr>
    </vt:vector>
  </TitlesOfParts>
  <Company>RÉSEAU DES RIVIÈRES DU PATRIMOINE CANADIEN</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RAPPORTS DE SURVEILLANCES ANNUELS DE 2022</dc:title>
  <dc:subject>Résumé des rapports de surveillance annuels des rivières du patrimoine canadien</dc:subject>
  <dc:creator>Lydia Kropp</dc:creator>
  <cp:keywords/>
  <cp:lastModifiedBy>Marleine Gelineau</cp:lastModifiedBy>
  <cp:revision>2</cp:revision>
  <cp:lastPrinted>2022-12-14T19:11:00Z</cp:lastPrinted>
  <dcterms:created xsi:type="dcterms:W3CDTF">2024-12-06T16:10:00Z</dcterms:created>
  <dcterms:modified xsi:type="dcterms:W3CDTF">2024-12-06T16:10:00Z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2024-12-05T21:21:25Z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fb68dc96-6e6a-4b43-920d-f894771e0073</vt:lpwstr>
  </property>
  <property fmtid="{D5CDD505-2E9C-101B-9397-08002B2CF9AE}" pid="8" name="MSIP_Label_834ed4f5-eae4-40c7-82be-b1cdf720a1b9_ContentBits">
    <vt:lpwstr>0</vt:lpwstr>
  </property>
</Properties>
</file>